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87850" w:rsidRDefault="005B6D56">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B809D4" w:rsidRDefault="00BF25CF" w:rsidP="003B6658">
            <w:pPr>
              <w:suppressLineNumbers/>
              <w:rPr>
                <w:rFonts w:ascii="Arial" w:hAnsi="Arial"/>
                <w:b/>
                <w:bCs/>
                <w:noProof w:val="0"/>
                <w:sz w:val="26"/>
                <w:szCs w:val="26"/>
                <w:rtl/>
              </w:rPr>
            </w:pPr>
            <w:sdt>
              <w:sdtPr>
                <w:rPr>
                  <w:rFonts w:ascii="Arial" w:hAnsi="Arial"/>
                  <w:b/>
                  <w:bCs/>
                  <w:noProof w:val="0"/>
                  <w:sz w:val="26"/>
                  <w:szCs w:val="26"/>
                  <w:rtl/>
                </w:rPr>
                <w:alias w:val="1462"/>
                <w:tag w:val="1462"/>
                <w:id w:val="-2139489462"/>
                <w:text w:multiLine="1"/>
              </w:sdtPr>
              <w:sdtEndPr/>
              <w:sdtContent>
                <w:r w:rsidR="00DA2495" w:rsidRPr="003B6658">
                  <w:rPr>
                    <w:rFonts w:ascii="Arial" w:hAnsi="Arial"/>
                    <w:b/>
                    <w:bCs/>
                    <w:noProof w:val="0"/>
                    <w:sz w:val="26"/>
                    <w:szCs w:val="26"/>
                    <w:rtl/>
                  </w:rPr>
                  <w:t>1</w:t>
                </w:r>
              </w:sdtContent>
            </w:sdt>
            <w:r w:rsidR="0094424E" w:rsidRPr="003B6658">
              <w:rPr>
                <w:rFonts w:ascii="Arial" w:hAnsi="Arial"/>
                <w:b/>
                <w:bCs/>
                <w:noProof w:val="0"/>
                <w:sz w:val="26"/>
                <w:szCs w:val="26"/>
                <w:rtl/>
              </w:rPr>
              <w:t>.</w:t>
            </w:r>
            <w:r w:rsidR="007C2453" w:rsidRPr="003B6658">
              <w:rPr>
                <w:rFonts w:ascii="Arial" w:hAnsi="Arial" w:hint="cs"/>
                <w:b/>
                <w:bCs/>
                <w:noProof w:val="0"/>
                <w:sz w:val="26"/>
                <w:szCs w:val="26"/>
                <w:rtl/>
              </w:rPr>
              <w:t xml:space="preserve"> </w:t>
            </w:r>
            <w:r w:rsidR="00DA2495" w:rsidRPr="003B6658">
              <w:rPr>
                <w:rFonts w:ascii="Arial" w:hAnsi="Arial" w:hint="eastAsia"/>
                <w:b/>
                <w:bCs/>
                <w:noProof w:val="0"/>
                <w:sz w:val="26"/>
                <w:szCs w:val="26"/>
                <w:rtl/>
              </w:rPr>
              <w:t>עיזבון המנוח מ</w:t>
            </w:r>
            <w:r w:rsidR="003B6658">
              <w:rPr>
                <w:rFonts w:ascii="Arial" w:hAnsi="Arial" w:hint="cs"/>
                <w:b/>
                <w:bCs/>
                <w:noProof w:val="0"/>
                <w:sz w:val="26"/>
                <w:szCs w:val="26"/>
                <w:rtl/>
              </w:rPr>
              <w:t>'</w:t>
            </w:r>
          </w:p>
          <w:p w:rsidR="00B809D4" w:rsidRDefault="00B809D4" w:rsidP="00C6364A">
            <w:pPr>
              <w:suppressLineNumbers/>
              <w:rPr>
                <w:rFonts w:ascii="Arial" w:hAnsi="Arial"/>
                <w:b/>
                <w:bCs/>
                <w:noProof w:val="0"/>
                <w:sz w:val="26"/>
                <w:szCs w:val="26"/>
                <w:rtl/>
              </w:rPr>
            </w:pPr>
            <w:r w:rsidRPr="00C6364A">
              <w:rPr>
                <w:rFonts w:ascii="Arial" w:hAnsi="Arial" w:hint="cs"/>
                <w:b/>
                <w:bCs/>
                <w:noProof w:val="0"/>
                <w:sz w:val="26"/>
                <w:szCs w:val="26"/>
                <w:rtl/>
              </w:rPr>
              <w:t xml:space="preserve">ע"י מנהל </w:t>
            </w:r>
            <w:r w:rsidR="00CE1068" w:rsidRPr="00C6364A">
              <w:rPr>
                <w:rFonts w:ascii="Arial" w:hAnsi="Arial" w:hint="cs"/>
                <w:b/>
                <w:bCs/>
                <w:noProof w:val="0"/>
                <w:sz w:val="26"/>
                <w:szCs w:val="26"/>
                <w:rtl/>
              </w:rPr>
              <w:t>העיזבו</w:t>
            </w:r>
            <w:r w:rsidR="00CE1068" w:rsidRPr="00C6364A">
              <w:rPr>
                <w:rFonts w:ascii="Arial" w:hAnsi="Arial" w:hint="eastAsia"/>
                <w:b/>
                <w:bCs/>
                <w:noProof w:val="0"/>
                <w:sz w:val="26"/>
                <w:szCs w:val="26"/>
                <w:rtl/>
              </w:rPr>
              <w:t>ן</w:t>
            </w:r>
            <w:r w:rsidRPr="00C6364A">
              <w:rPr>
                <w:rFonts w:ascii="Arial" w:hAnsi="Arial" w:hint="cs"/>
                <w:b/>
                <w:bCs/>
                <w:noProof w:val="0"/>
                <w:sz w:val="26"/>
                <w:szCs w:val="26"/>
                <w:rtl/>
              </w:rPr>
              <w:t xml:space="preserve"> </w:t>
            </w:r>
            <w:r w:rsidRPr="00C6364A">
              <w:rPr>
                <w:rFonts w:ascii="Arial" w:hAnsi="Arial"/>
                <w:b/>
                <w:bCs/>
                <w:noProof w:val="0"/>
                <w:sz w:val="26"/>
                <w:szCs w:val="26"/>
                <w:rtl/>
              </w:rPr>
              <w:t>–</w:t>
            </w:r>
            <w:r w:rsidRPr="00C6364A">
              <w:rPr>
                <w:rFonts w:ascii="Arial" w:hAnsi="Arial" w:hint="cs"/>
                <w:b/>
                <w:bCs/>
                <w:noProof w:val="0"/>
                <w:sz w:val="26"/>
                <w:szCs w:val="26"/>
                <w:rtl/>
              </w:rPr>
              <w:t xml:space="preserve"> עו"ד א</w:t>
            </w:r>
            <w:r w:rsidR="00C6364A" w:rsidRPr="00C6364A">
              <w:rPr>
                <w:rFonts w:ascii="Arial" w:hAnsi="Arial" w:hint="cs"/>
                <w:b/>
                <w:bCs/>
                <w:noProof w:val="0"/>
                <w:sz w:val="26"/>
                <w:szCs w:val="26"/>
                <w:rtl/>
              </w:rPr>
              <w:t>.</w:t>
            </w:r>
            <w:r w:rsidR="00CE1068">
              <w:rPr>
                <w:rFonts w:ascii="Arial" w:hAnsi="Arial" w:hint="cs"/>
                <w:b/>
                <w:bCs/>
                <w:noProof w:val="0"/>
                <w:sz w:val="26"/>
                <w:szCs w:val="26"/>
                <w:rtl/>
              </w:rPr>
              <w:t xml:space="preserve"> </w:t>
            </w:r>
            <w:r w:rsidR="00C6364A" w:rsidRPr="00C6364A">
              <w:rPr>
                <w:rFonts w:ascii="Arial" w:hAnsi="Arial" w:hint="cs"/>
                <w:b/>
                <w:bCs/>
                <w:noProof w:val="0"/>
                <w:sz w:val="26"/>
                <w:szCs w:val="26"/>
                <w:rtl/>
              </w:rPr>
              <w:t>ד.</w:t>
            </w:r>
          </w:p>
          <w:p w:rsidR="00B809D4" w:rsidRDefault="00B809D4" w:rsidP="00B809D4">
            <w:pPr>
              <w:suppressLineNumbers/>
              <w:rPr>
                <w:rFonts w:ascii="Arial" w:hAnsi="Arial"/>
                <w:b/>
                <w:bCs/>
                <w:noProof w:val="0"/>
                <w:sz w:val="26"/>
                <w:szCs w:val="26"/>
                <w:rtl/>
              </w:rPr>
            </w:pPr>
          </w:p>
          <w:p w:rsidR="00B809D4" w:rsidRDefault="00BF25CF" w:rsidP="003B6658">
            <w:pPr>
              <w:suppressLineNumbers/>
              <w:rPr>
                <w:rFonts w:ascii="Arial" w:hAnsi="Arial"/>
                <w:b/>
                <w:bCs/>
                <w:noProof w:val="0"/>
                <w:sz w:val="26"/>
                <w:szCs w:val="26"/>
                <w:rtl/>
              </w:rPr>
            </w:pPr>
            <w:sdt>
              <w:sdtPr>
                <w:rPr>
                  <w:rFonts w:ascii="Arial" w:hAnsi="Arial"/>
                  <w:b/>
                  <w:bCs/>
                  <w:noProof w:val="0"/>
                  <w:sz w:val="26"/>
                  <w:szCs w:val="26"/>
                  <w:rtl/>
                </w:rPr>
                <w:alias w:val="1462"/>
                <w:tag w:val="1462"/>
                <w:id w:val="-434745675"/>
                <w:text w:multiLine="1"/>
              </w:sdtPr>
              <w:sdtEndPr/>
              <w:sdtContent>
                <w:r w:rsidR="00DA2495">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0987992"/>
                <w:placeholder>
                  <w:docPart w:val="7D8E46D2581B4CD9ACC623ACA7D52F75"/>
                </w:placeholder>
                <w:text w:multiLine="1"/>
              </w:sdtPr>
              <w:sdtEndPr/>
              <w:sdtContent>
                <w:r w:rsidR="00DA2495">
                  <w:rPr>
                    <w:rFonts w:ascii="Arial" w:hAnsi="Arial" w:hint="eastAsia"/>
                    <w:b/>
                    <w:bCs/>
                    <w:noProof w:val="0"/>
                    <w:sz w:val="26"/>
                    <w:szCs w:val="26"/>
                    <w:rtl/>
                  </w:rPr>
                  <w:t>עיזבון המנוח נ</w:t>
                </w:r>
                <w:r w:rsidR="003B6658">
                  <w:rPr>
                    <w:rFonts w:ascii="Arial" w:hAnsi="Arial" w:hint="cs"/>
                    <w:b/>
                    <w:bCs/>
                    <w:noProof w:val="0"/>
                    <w:sz w:val="26"/>
                    <w:szCs w:val="26"/>
                    <w:rtl/>
                  </w:rPr>
                  <w:t>'</w:t>
                </w:r>
              </w:sdtContent>
            </w:sdt>
          </w:p>
          <w:p w:rsidR="0094424E" w:rsidRDefault="00B859C5" w:rsidP="00C6364A">
            <w:pPr>
              <w:suppressLineNumbers/>
              <w:rPr>
                <w:b/>
                <w:bCs/>
                <w:noProof w:val="0"/>
                <w:sz w:val="26"/>
                <w:szCs w:val="26"/>
                <w:rtl/>
              </w:rPr>
            </w:pPr>
            <w:r>
              <w:rPr>
                <w:rFonts w:hint="cs"/>
                <w:rtl/>
              </w:rPr>
              <w:t xml:space="preserve"> </w:t>
            </w:r>
            <w:r w:rsidRPr="00C6364A">
              <w:rPr>
                <w:rFonts w:ascii="Arial" w:hAnsi="Arial"/>
                <w:b/>
                <w:bCs/>
                <w:noProof w:val="0"/>
                <w:sz w:val="26"/>
                <w:szCs w:val="26"/>
                <w:rtl/>
              </w:rPr>
              <w:t xml:space="preserve">ע"י </w:t>
            </w:r>
            <w:r w:rsidR="00B809D4" w:rsidRPr="00C6364A">
              <w:rPr>
                <w:rFonts w:ascii="Arial" w:hAnsi="Arial" w:hint="cs"/>
                <w:b/>
                <w:bCs/>
                <w:noProof w:val="0"/>
                <w:sz w:val="26"/>
                <w:szCs w:val="26"/>
                <w:rtl/>
              </w:rPr>
              <w:t xml:space="preserve">מנהל </w:t>
            </w:r>
            <w:r w:rsidR="00CE1068" w:rsidRPr="00C6364A">
              <w:rPr>
                <w:rFonts w:ascii="Arial" w:hAnsi="Arial" w:hint="cs"/>
                <w:b/>
                <w:bCs/>
                <w:noProof w:val="0"/>
                <w:sz w:val="26"/>
                <w:szCs w:val="26"/>
                <w:rtl/>
              </w:rPr>
              <w:t>העיזבו</w:t>
            </w:r>
            <w:r w:rsidR="00CE1068" w:rsidRPr="00C6364A">
              <w:rPr>
                <w:rFonts w:ascii="Arial" w:hAnsi="Arial" w:hint="eastAsia"/>
                <w:b/>
                <w:bCs/>
                <w:noProof w:val="0"/>
                <w:sz w:val="26"/>
                <w:szCs w:val="26"/>
                <w:rtl/>
              </w:rPr>
              <w:t>ן</w:t>
            </w:r>
            <w:r w:rsidR="00B809D4" w:rsidRPr="00C6364A">
              <w:rPr>
                <w:rFonts w:ascii="Arial" w:hAnsi="Arial" w:hint="cs"/>
                <w:b/>
                <w:bCs/>
                <w:noProof w:val="0"/>
                <w:sz w:val="26"/>
                <w:szCs w:val="26"/>
                <w:rtl/>
              </w:rPr>
              <w:t xml:space="preserve"> </w:t>
            </w:r>
            <w:r w:rsidR="00B809D4" w:rsidRPr="00C6364A">
              <w:rPr>
                <w:rFonts w:ascii="Arial" w:hAnsi="Arial"/>
                <w:b/>
                <w:bCs/>
                <w:noProof w:val="0"/>
                <w:sz w:val="26"/>
                <w:szCs w:val="26"/>
                <w:rtl/>
              </w:rPr>
              <w:t>–</w:t>
            </w:r>
            <w:r w:rsidR="00B809D4" w:rsidRPr="00C6364A">
              <w:rPr>
                <w:rFonts w:ascii="Arial" w:hAnsi="Arial" w:hint="cs"/>
                <w:b/>
                <w:bCs/>
                <w:noProof w:val="0"/>
                <w:sz w:val="26"/>
                <w:szCs w:val="26"/>
                <w:rtl/>
              </w:rPr>
              <w:t xml:space="preserve"> עו"ד מ</w:t>
            </w:r>
            <w:r w:rsidR="00C6364A" w:rsidRPr="00C6364A">
              <w:rPr>
                <w:rFonts w:ascii="Arial" w:hAnsi="Arial" w:hint="cs"/>
                <w:b/>
                <w:bCs/>
                <w:noProof w:val="0"/>
                <w:sz w:val="26"/>
                <w:szCs w:val="26"/>
                <w:rtl/>
              </w:rPr>
              <w:t>. א.</w:t>
            </w:r>
          </w:p>
          <w:p w:rsidR="00B809D4" w:rsidRDefault="00B809D4" w:rsidP="00B809D4">
            <w:pPr>
              <w:suppressLineNumbers/>
              <w:rPr>
                <w:b/>
                <w:bCs/>
                <w:noProof w:val="0"/>
                <w:sz w:val="26"/>
                <w:szCs w:val="26"/>
              </w:rPr>
            </w:pPr>
          </w:p>
          <w:p w:rsidR="0094424E" w:rsidRDefault="00BF25CF" w:rsidP="003B6658">
            <w:pPr>
              <w:suppressLineNumbers/>
              <w:rPr>
                <w:b/>
                <w:bCs/>
                <w:noProof w:val="0"/>
                <w:sz w:val="26"/>
                <w:szCs w:val="26"/>
              </w:rPr>
            </w:pPr>
            <w:sdt>
              <w:sdtPr>
                <w:rPr>
                  <w:rFonts w:ascii="Arial" w:hAnsi="Arial"/>
                  <w:b/>
                  <w:bCs/>
                  <w:noProof w:val="0"/>
                  <w:sz w:val="26"/>
                  <w:szCs w:val="26"/>
                  <w:rtl/>
                </w:rPr>
                <w:alias w:val="1462"/>
                <w:tag w:val="1462"/>
                <w:id w:val="1897696995"/>
                <w:text w:multiLine="1"/>
              </w:sdtPr>
              <w:sdtEndPr/>
              <w:sdtContent>
                <w:r w:rsidR="00DA2495">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95573953"/>
                <w:placeholder>
                  <w:docPart w:val="7D8E46D2581B4CD9ACC623ACA7D52F75"/>
                </w:placeholder>
                <w:text w:multiLine="1"/>
              </w:sdtPr>
              <w:sdtEndPr/>
              <w:sdtContent>
                <w:r w:rsidR="00DA2495">
                  <w:rPr>
                    <w:rFonts w:ascii="Arial" w:hAnsi="Arial" w:hint="eastAsia"/>
                    <w:b/>
                    <w:bCs/>
                    <w:noProof w:val="0"/>
                    <w:sz w:val="26"/>
                    <w:szCs w:val="26"/>
                    <w:rtl/>
                  </w:rPr>
                  <w:t>ש</w:t>
                </w:r>
                <w:r w:rsidR="003B6658">
                  <w:rPr>
                    <w:rFonts w:ascii="Arial" w:hAnsi="Arial" w:hint="cs"/>
                    <w:b/>
                    <w:bCs/>
                    <w:noProof w:val="0"/>
                    <w:sz w:val="26"/>
                    <w:szCs w:val="26"/>
                    <w:rtl/>
                  </w:rPr>
                  <w:t>'</w:t>
                </w:r>
              </w:sdtContent>
            </w:sdt>
            <w:r w:rsidR="00B859C5">
              <w:rPr>
                <w:rFonts w:hint="cs"/>
                <w:rtl/>
              </w:rPr>
              <w:t xml:space="preserve"> </w:t>
            </w:r>
            <w:r w:rsidR="00B809D4">
              <w:rPr>
                <w:b/>
                <w:bCs/>
                <w:noProof w:val="0"/>
                <w:sz w:val="26"/>
                <w:szCs w:val="26"/>
                <w:rtl/>
              </w:rPr>
              <w:t>–</w:t>
            </w:r>
            <w:r w:rsidR="00B809D4">
              <w:rPr>
                <w:rFonts w:hint="cs"/>
                <w:b/>
                <w:bCs/>
                <w:noProof w:val="0"/>
                <w:sz w:val="26"/>
                <w:szCs w:val="26"/>
                <w:rtl/>
              </w:rPr>
              <w:t xml:space="preserve"> יורשת המנוחים</w:t>
            </w:r>
          </w:p>
          <w:p w:rsidR="0094424E" w:rsidRDefault="00BF25CF" w:rsidP="003B6658">
            <w:pPr>
              <w:suppressLineNumbers/>
              <w:rPr>
                <w:b/>
                <w:bCs/>
                <w:noProof w:val="0"/>
                <w:sz w:val="26"/>
                <w:szCs w:val="26"/>
              </w:rPr>
            </w:pPr>
            <w:sdt>
              <w:sdtPr>
                <w:rPr>
                  <w:rFonts w:ascii="Arial" w:hAnsi="Arial"/>
                  <w:b/>
                  <w:bCs/>
                  <w:noProof w:val="0"/>
                  <w:sz w:val="26"/>
                  <w:szCs w:val="26"/>
                  <w:rtl/>
                </w:rPr>
                <w:alias w:val="1462"/>
                <w:tag w:val="1462"/>
                <w:id w:val="-1288110020"/>
                <w:text w:multiLine="1"/>
              </w:sdtPr>
              <w:sdtEndPr/>
              <w:sdtContent>
                <w:r w:rsidR="00DA2495">
                  <w:rPr>
                    <w:rFonts w:ascii="Arial" w:hAnsi="Arial"/>
                    <w:b/>
                    <w:bCs/>
                    <w:noProof w:val="0"/>
                    <w:sz w:val="26"/>
                    <w:szCs w:val="26"/>
                    <w:rtl/>
                  </w:rPr>
                  <w:t>4</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b/>
                  <w:bCs/>
                  <w:noProof w:val="0"/>
                  <w:sz w:val="26"/>
                  <w:szCs w:val="26"/>
                  <w:rtl/>
                </w:rPr>
                <w:alias w:val="3151"/>
                <w:tag w:val="3151"/>
                <w:id w:val="346372230"/>
                <w:placeholder>
                  <w:docPart w:val="7D8E46D2581B4CD9ACC623ACA7D52F75"/>
                </w:placeholder>
                <w:text w:multiLine="1"/>
              </w:sdtPr>
              <w:sdtEndPr/>
              <w:sdtContent>
                <w:r w:rsidR="00DA2495">
                  <w:rPr>
                    <w:rFonts w:ascii="Arial" w:hAnsi="Arial"/>
                    <w:b/>
                    <w:bCs/>
                    <w:noProof w:val="0"/>
                    <w:sz w:val="26"/>
                    <w:szCs w:val="26"/>
                    <w:rtl/>
                  </w:rPr>
                  <w:t>א</w:t>
                </w:r>
                <w:r w:rsidR="003B6658">
                  <w:rPr>
                    <w:rFonts w:ascii="Arial" w:hAnsi="Arial" w:hint="cs"/>
                    <w:b/>
                    <w:bCs/>
                    <w:noProof w:val="0"/>
                    <w:sz w:val="26"/>
                    <w:szCs w:val="26"/>
                    <w:rtl/>
                  </w:rPr>
                  <w:t xml:space="preserve">' </w:t>
                </w:r>
                <w:r w:rsidR="00B809D4">
                  <w:rPr>
                    <w:rFonts w:ascii="Arial" w:hAnsi="Arial" w:hint="cs"/>
                    <w:b/>
                    <w:bCs/>
                    <w:noProof w:val="0"/>
                    <w:sz w:val="26"/>
                    <w:szCs w:val="26"/>
                    <w:rtl/>
                  </w:rPr>
                  <w:t xml:space="preserve"> </w:t>
                </w:r>
                <w:r w:rsidR="00B809D4">
                  <w:rPr>
                    <w:rFonts w:ascii="Arial" w:hAnsi="Arial"/>
                    <w:b/>
                    <w:bCs/>
                    <w:noProof w:val="0"/>
                    <w:sz w:val="26"/>
                    <w:szCs w:val="26"/>
                    <w:rtl/>
                  </w:rPr>
                  <w:t xml:space="preserve">– יורש </w:t>
                </w:r>
                <w:r w:rsidR="00B809D4">
                  <w:rPr>
                    <w:rFonts w:ascii="Arial" w:hAnsi="Arial" w:hint="cs"/>
                    <w:b/>
                    <w:bCs/>
                    <w:noProof w:val="0"/>
                    <w:sz w:val="26"/>
                    <w:szCs w:val="26"/>
                    <w:rtl/>
                  </w:rPr>
                  <w:t>המנוחים</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F25CF" w:rsidP="009E461A">
            <w:pPr>
              <w:suppressLineNumbers/>
              <w:rPr>
                <w:rFonts w:ascii="Arial" w:hAnsi="Arial"/>
                <w:b/>
                <w:bCs/>
                <w:noProof w:val="0"/>
                <w:sz w:val="26"/>
                <w:szCs w:val="26"/>
              </w:rPr>
            </w:pPr>
            <w:sdt>
              <w:sdtPr>
                <w:rPr>
                  <w:rtl/>
                </w:rPr>
                <w:alias w:val="1184"/>
                <w:tag w:val="1184"/>
                <w:id w:val="-340621022"/>
                <w:text w:multiLine="1"/>
              </w:sdtPr>
              <w:sdtEndPr/>
              <w:sdtContent>
                <w:r w:rsidR="00DA2495">
                  <w:rPr>
                    <w:rFonts w:ascii="Arial" w:hAnsi="Arial"/>
                    <w:b/>
                    <w:bCs/>
                    <w:noProof w:val="0"/>
                    <w:sz w:val="26"/>
                    <w:szCs w:val="26"/>
                    <w:rtl/>
                  </w:rPr>
                  <w:t>משיבים</w:t>
                </w:r>
              </w:sdtContent>
            </w:sdt>
          </w:p>
        </w:tc>
        <w:tc>
          <w:tcPr>
            <w:tcW w:w="5571" w:type="dxa"/>
          </w:tcPr>
          <w:p w:rsidR="00CF6BB7" w:rsidRPr="009E461A" w:rsidRDefault="007C2453" w:rsidP="00B809D4">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האפוטרופוס הכללי מחוז חיפה והצפון</w:t>
                </w:r>
              </w:sdtContent>
            </w:sdt>
            <w:r w:rsidR="00B859C5">
              <w:rPr>
                <w:rFonts w:hint="cs"/>
                <w:rtl/>
              </w:rPr>
              <w:t xml:space="preserve"> </w:t>
            </w:r>
          </w:p>
        </w:tc>
      </w:tr>
      <w:tr w:rsidR="004C17EE" w:rsidTr="00D620FD">
        <w:trPr>
          <w:jc w:val="center"/>
        </w:trPr>
        <w:tc>
          <w:tcPr>
            <w:tcW w:w="8820" w:type="dxa"/>
            <w:gridSpan w:val="3"/>
          </w:tcPr>
          <w:p w:rsidR="00B87850" w:rsidRDefault="00B87850">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לפני בקשת רשות ערעור על החלטת בית המשפט לענייני משפחה בקריות (כב' השופטת מאיה לוי) בת"ע 7535-06-20 שניתנה ביום 14.06.2023 (להלן: "</w:t>
      </w:r>
      <w:r>
        <w:rPr>
          <w:rFonts w:ascii="David" w:hAnsi="David" w:cs="David"/>
          <w:b/>
          <w:bCs/>
          <w:color w:val="000000"/>
          <w:sz w:val="24"/>
          <w:szCs w:val="24"/>
          <w:rtl/>
        </w:rPr>
        <w:t>בית משפט קמא</w:t>
      </w:r>
      <w:r>
        <w:rPr>
          <w:rFonts w:ascii="David" w:hAnsi="David" w:cs="David"/>
          <w:color w:val="000000"/>
          <w:sz w:val="24"/>
          <w:szCs w:val="24"/>
          <w:rtl/>
        </w:rPr>
        <w:t>"), ולשונה כך:</w:t>
      </w:r>
    </w:p>
    <w:p w:rsidR="00B809D4" w:rsidRDefault="00B809D4" w:rsidP="00B809D4">
      <w:pPr>
        <w:tabs>
          <w:tab w:val="left" w:pos="7597"/>
        </w:tabs>
        <w:spacing w:line="276" w:lineRule="auto"/>
        <w:ind w:left="935" w:right="709"/>
        <w:jc w:val="both"/>
        <w:rPr>
          <w:rFonts w:ascii="David" w:hAnsi="David"/>
          <w:b/>
          <w:bCs/>
          <w:color w:val="000000"/>
        </w:rPr>
      </w:pPr>
      <w:r>
        <w:rPr>
          <w:rFonts w:ascii="David" w:hAnsi="David"/>
          <w:b/>
          <w:bCs/>
          <w:color w:val="000000"/>
          <w:rtl/>
        </w:rPr>
        <w:t>"1. אומנם ניתן צו המאשר פורמאלית את המכר, אולם לא ניתן להורות על מחיקת העיקולים משהתברר כי ישנם עיקולים רבים הרובצים על הנכס לטובת צדדים שלישיים.</w:t>
      </w:r>
    </w:p>
    <w:p w:rsidR="00B809D4" w:rsidRDefault="00B809D4" w:rsidP="00B809D4">
      <w:pPr>
        <w:tabs>
          <w:tab w:val="left" w:pos="7597"/>
        </w:tabs>
        <w:spacing w:line="276" w:lineRule="auto"/>
        <w:ind w:left="935" w:right="709"/>
        <w:jc w:val="both"/>
        <w:rPr>
          <w:rFonts w:ascii="David" w:hAnsi="David"/>
          <w:b/>
          <w:bCs/>
          <w:color w:val="000000"/>
          <w:rtl/>
        </w:rPr>
      </w:pPr>
      <w:r>
        <w:rPr>
          <w:rFonts w:ascii="David" w:hAnsi="David"/>
          <w:b/>
          <w:bCs/>
          <w:color w:val="000000"/>
          <w:rtl/>
        </w:rPr>
        <w:t>2. על מנהלת העיזבון לסלק את החובות הרובצים על הנכס בטרם ניתן יהיה לאשר את המכר ולהסיר את העיקולים.</w:t>
      </w:r>
    </w:p>
    <w:p w:rsidR="00B809D4" w:rsidRDefault="00B809D4" w:rsidP="00B809D4">
      <w:pPr>
        <w:tabs>
          <w:tab w:val="left" w:pos="7597"/>
        </w:tabs>
        <w:spacing w:line="276" w:lineRule="auto"/>
        <w:ind w:left="935" w:right="709"/>
        <w:jc w:val="both"/>
        <w:rPr>
          <w:rFonts w:ascii="David" w:hAnsi="David"/>
          <w:b/>
          <w:bCs/>
          <w:color w:val="000000"/>
          <w:rtl/>
        </w:rPr>
      </w:pPr>
      <w:r>
        <w:rPr>
          <w:rFonts w:ascii="David" w:hAnsi="David"/>
          <w:b/>
          <w:bCs/>
          <w:color w:val="000000"/>
          <w:rtl/>
        </w:rPr>
        <w:t>3. בנסיבות הקיימות לא ניתן לחתום על צו המכר.</w:t>
      </w:r>
    </w:p>
    <w:p w:rsidR="00B809D4" w:rsidRDefault="00B809D4" w:rsidP="00B809D4">
      <w:pPr>
        <w:tabs>
          <w:tab w:val="left" w:pos="7597"/>
        </w:tabs>
        <w:spacing w:line="276" w:lineRule="auto"/>
        <w:ind w:left="935" w:right="709"/>
        <w:jc w:val="both"/>
        <w:rPr>
          <w:rFonts w:ascii="David" w:hAnsi="David"/>
          <w:b/>
          <w:bCs/>
          <w:color w:val="000000"/>
          <w:rtl/>
        </w:rPr>
      </w:pPr>
      <w:r>
        <w:rPr>
          <w:rFonts w:ascii="David" w:hAnsi="David"/>
          <w:b/>
          <w:bCs/>
          <w:color w:val="000000"/>
          <w:rtl/>
        </w:rPr>
        <w:t>4. המזכירות תמציא ההחלטה לצדדים."</w:t>
      </w:r>
    </w:p>
    <w:p w:rsidR="00B809D4" w:rsidRDefault="00B809D4" w:rsidP="00B809D4">
      <w:pPr>
        <w:tabs>
          <w:tab w:val="left" w:pos="7597"/>
          <w:tab w:val="left" w:pos="7739"/>
        </w:tabs>
        <w:spacing w:line="360" w:lineRule="auto"/>
        <w:ind w:left="4320"/>
        <w:jc w:val="both"/>
        <w:rPr>
          <w:rFonts w:ascii="David" w:hAnsi="David"/>
          <w:color w:val="000000"/>
          <w:rtl/>
        </w:rPr>
      </w:pPr>
      <w:r>
        <w:rPr>
          <w:rFonts w:ascii="David" w:hAnsi="David"/>
          <w:color w:val="000000"/>
          <w:rtl/>
        </w:rPr>
        <w:t xml:space="preserve">    (להלן: "</w:t>
      </w:r>
      <w:r>
        <w:rPr>
          <w:rFonts w:ascii="David" w:hAnsi="David"/>
          <w:b/>
          <w:bCs/>
          <w:color w:val="000000"/>
          <w:rtl/>
        </w:rPr>
        <w:t>החלטת בית משפט קמא</w:t>
      </w:r>
      <w:r>
        <w:rPr>
          <w:rFonts w:ascii="David" w:hAnsi="David"/>
          <w:color w:val="000000"/>
          <w:rtl/>
        </w:rPr>
        <w:t>")</w:t>
      </w:r>
    </w:p>
    <w:p w:rsidR="00B809D4" w:rsidRDefault="00B809D4" w:rsidP="00B809D4">
      <w:pPr>
        <w:pStyle w:val="ad"/>
        <w:spacing w:line="360" w:lineRule="auto"/>
        <w:ind w:left="-341"/>
        <w:jc w:val="both"/>
        <w:rPr>
          <w:rFonts w:ascii="David" w:hAnsi="David" w:cs="David"/>
          <w:b/>
          <w:bCs/>
          <w:sz w:val="24"/>
          <w:szCs w:val="24"/>
          <w:rtl/>
        </w:rPr>
      </w:pPr>
    </w:p>
    <w:p w:rsidR="00B809D4" w:rsidRDefault="00B809D4" w:rsidP="00B809D4">
      <w:pPr>
        <w:pStyle w:val="ad"/>
        <w:spacing w:line="360" w:lineRule="auto"/>
        <w:ind w:left="-341"/>
        <w:jc w:val="both"/>
        <w:rPr>
          <w:rFonts w:ascii="David" w:hAnsi="David" w:cs="David"/>
          <w:b/>
          <w:bCs/>
          <w:sz w:val="24"/>
          <w:szCs w:val="24"/>
          <w:rtl/>
        </w:rPr>
      </w:pPr>
      <w:r>
        <w:rPr>
          <w:rFonts w:ascii="David" w:hAnsi="David" w:cs="David"/>
          <w:b/>
          <w:bCs/>
          <w:sz w:val="24"/>
          <w:szCs w:val="24"/>
          <w:rtl/>
        </w:rPr>
        <w:t>תמצית השאלה המשפטית</w:t>
      </w:r>
      <w:r>
        <w:rPr>
          <w:rFonts w:ascii="David" w:hAnsi="David" w:cs="David" w:hint="cs"/>
          <w:b/>
          <w:bCs/>
          <w:sz w:val="24"/>
          <w:szCs w:val="24"/>
          <w:rtl/>
        </w:rPr>
        <w:t>:</w:t>
      </w:r>
      <w:r>
        <w:rPr>
          <w:rFonts w:ascii="David" w:hAnsi="David" w:cs="David"/>
          <w:b/>
          <w:bCs/>
          <w:sz w:val="24"/>
          <w:szCs w:val="24"/>
          <w:rtl/>
        </w:rPr>
        <w:t xml:space="preserve"> </w:t>
      </w:r>
    </w:p>
    <w:p w:rsidR="00B809D4" w:rsidRDefault="00B809D4" w:rsidP="00B809D4">
      <w:pPr>
        <w:pStyle w:val="ad"/>
        <w:spacing w:line="360" w:lineRule="auto"/>
        <w:ind w:left="-58"/>
        <w:jc w:val="both"/>
        <w:rPr>
          <w:rFonts w:ascii="David" w:hAnsi="David" w:cs="David"/>
          <w:sz w:val="24"/>
          <w:szCs w:val="24"/>
          <w:rtl/>
        </w:rPr>
      </w:pPr>
    </w:p>
    <w:p w:rsidR="00B809D4" w:rsidRDefault="00B809D4" w:rsidP="00B809D4">
      <w:pPr>
        <w:pStyle w:val="ad"/>
        <w:numPr>
          <w:ilvl w:val="0"/>
          <w:numId w:val="1"/>
        </w:numPr>
        <w:spacing w:line="360" w:lineRule="auto"/>
        <w:ind w:left="-58"/>
        <w:jc w:val="both"/>
        <w:rPr>
          <w:rFonts w:ascii="David" w:hAnsi="David" w:cs="David"/>
          <w:sz w:val="24"/>
          <w:szCs w:val="24"/>
        </w:rPr>
      </w:pPr>
      <w:r>
        <w:rPr>
          <w:rFonts w:ascii="David" w:hAnsi="David" w:cs="David"/>
          <w:sz w:val="24"/>
          <w:szCs w:val="24"/>
          <w:rtl/>
        </w:rPr>
        <w:t>בית משפט קמא אישר למנהלי עיזבון למכור מקרקעין בהתאם לסעיף 34א' לחוק המכר, התשכ"ח-1968 (להלן: "</w:t>
      </w:r>
      <w:r>
        <w:rPr>
          <w:rFonts w:ascii="David" w:hAnsi="David" w:cs="David"/>
          <w:b/>
          <w:bCs/>
          <w:sz w:val="24"/>
          <w:szCs w:val="24"/>
          <w:rtl/>
        </w:rPr>
        <w:t>חוק המכר</w:t>
      </w:r>
      <w:r>
        <w:rPr>
          <w:rFonts w:ascii="David" w:hAnsi="David" w:cs="David"/>
          <w:sz w:val="24"/>
          <w:szCs w:val="24"/>
          <w:rtl/>
        </w:rPr>
        <w:t xml:space="preserve">"). לימים מנהלי העיזבון ביקשו מבית משפט קמא כי זה יחתום על צו פורמלי המורה על מחיקת עיקולים הרובצים על המקרקעין. בית משפט קמא סירב והורה כי יש להסיר העיקולים הרובצים על המקרקעין קודם לכן. </w:t>
      </w:r>
    </w:p>
    <w:p w:rsidR="00B809D4" w:rsidRDefault="00B809D4" w:rsidP="00B809D4">
      <w:pPr>
        <w:pStyle w:val="ad"/>
        <w:spacing w:line="360" w:lineRule="auto"/>
        <w:ind w:left="-58"/>
        <w:jc w:val="both"/>
        <w:rPr>
          <w:rFonts w:ascii="David" w:hAnsi="David" w:cs="David"/>
          <w:b/>
          <w:bCs/>
          <w:sz w:val="24"/>
          <w:szCs w:val="24"/>
        </w:rPr>
      </w:pPr>
    </w:p>
    <w:p w:rsidR="00B809D4" w:rsidRDefault="00B809D4" w:rsidP="00B809D4">
      <w:pPr>
        <w:pStyle w:val="ad"/>
        <w:spacing w:line="360" w:lineRule="auto"/>
        <w:ind w:left="-58"/>
        <w:jc w:val="both"/>
        <w:rPr>
          <w:rFonts w:ascii="David" w:hAnsi="David" w:cs="David"/>
          <w:sz w:val="24"/>
          <w:szCs w:val="24"/>
          <w:rtl/>
        </w:rPr>
      </w:pPr>
      <w:r>
        <w:rPr>
          <w:rFonts w:ascii="David" w:hAnsi="David" w:cs="David"/>
          <w:b/>
          <w:bCs/>
          <w:sz w:val="24"/>
          <w:szCs w:val="24"/>
          <w:rtl/>
        </w:rPr>
        <w:lastRenderedPageBreak/>
        <w:t>לגרסת מנהלי העיזבון, משנמכר הנכס בהתאם לסעיף 34א' לחוק המכר שגה בית משפט קמא כאשר נמנע מלחתום על הצו הפורמלי המורה על מחיקת העיקולים הרובצים על המקרקעין, שכן אין בצו זה אלא כדי לתת ביטוי למצב הנורמטיבי החל בנסיבות העניין.</w:t>
      </w:r>
    </w:p>
    <w:p w:rsidR="00B809D4" w:rsidRDefault="00B809D4" w:rsidP="00B809D4">
      <w:pPr>
        <w:pStyle w:val="ad"/>
        <w:spacing w:line="360" w:lineRule="auto"/>
        <w:ind w:left="-341"/>
        <w:jc w:val="both"/>
        <w:rPr>
          <w:rFonts w:ascii="David" w:hAnsi="David" w:cs="David"/>
          <w:b/>
          <w:bCs/>
          <w:sz w:val="24"/>
          <w:szCs w:val="24"/>
          <w:rtl/>
        </w:rPr>
      </w:pPr>
    </w:p>
    <w:p w:rsidR="00B809D4" w:rsidRDefault="00B809D4" w:rsidP="00B809D4">
      <w:pPr>
        <w:pStyle w:val="ad"/>
        <w:spacing w:line="360" w:lineRule="auto"/>
        <w:ind w:left="-341"/>
        <w:jc w:val="both"/>
        <w:rPr>
          <w:rFonts w:ascii="David" w:hAnsi="David" w:cs="David"/>
          <w:b/>
          <w:bCs/>
          <w:sz w:val="24"/>
          <w:szCs w:val="24"/>
          <w:rtl/>
        </w:rPr>
      </w:pPr>
      <w:r>
        <w:rPr>
          <w:rFonts w:ascii="David" w:hAnsi="David" w:cs="David"/>
          <w:b/>
          <w:bCs/>
          <w:sz w:val="24"/>
          <w:szCs w:val="24"/>
          <w:rtl/>
        </w:rPr>
        <w:t>תמצית השתלשלות העניינים בבית משפט קמא</w:t>
      </w:r>
      <w:r>
        <w:rPr>
          <w:rFonts w:ascii="David" w:hAnsi="David" w:cs="David" w:hint="cs"/>
          <w:b/>
          <w:bCs/>
          <w:sz w:val="24"/>
          <w:szCs w:val="24"/>
          <w:rtl/>
        </w:rPr>
        <w:t>:</w:t>
      </w:r>
    </w:p>
    <w:p w:rsidR="00B809D4" w:rsidRDefault="00B809D4" w:rsidP="00B809D4">
      <w:pPr>
        <w:pStyle w:val="ad"/>
        <w:spacing w:line="360" w:lineRule="auto"/>
        <w:ind w:left="-58"/>
        <w:jc w:val="both"/>
        <w:rPr>
          <w:rFonts w:ascii="David" w:hAnsi="David" w:cs="David"/>
          <w:color w:val="000000"/>
          <w:sz w:val="24"/>
          <w:szCs w:val="24"/>
          <w:rtl/>
        </w:rPr>
      </w:pPr>
    </w:p>
    <w:p w:rsidR="00B809D4" w:rsidRPr="00C6364A" w:rsidRDefault="00B809D4" w:rsidP="00C6364A">
      <w:pPr>
        <w:pStyle w:val="ad"/>
        <w:numPr>
          <w:ilvl w:val="0"/>
          <w:numId w:val="1"/>
        </w:numPr>
        <w:spacing w:line="360" w:lineRule="auto"/>
        <w:ind w:left="-58"/>
        <w:jc w:val="both"/>
        <w:rPr>
          <w:rFonts w:ascii="David" w:hAnsi="David" w:cs="David"/>
          <w:color w:val="000000"/>
          <w:sz w:val="24"/>
          <w:szCs w:val="24"/>
        </w:rPr>
      </w:pPr>
      <w:r w:rsidRPr="00C6364A">
        <w:rPr>
          <w:rFonts w:ascii="David" w:hAnsi="David" w:cs="David"/>
          <w:color w:val="000000"/>
          <w:sz w:val="24"/>
          <w:szCs w:val="24"/>
          <w:rtl/>
        </w:rPr>
        <w:t>ביום 10.02.2014 נפטר מ</w:t>
      </w:r>
      <w:r w:rsidR="003B6658" w:rsidRPr="00C6364A">
        <w:rPr>
          <w:rFonts w:ascii="David" w:hAnsi="David" w:cs="David" w:hint="cs"/>
          <w:color w:val="000000"/>
          <w:sz w:val="24"/>
          <w:szCs w:val="24"/>
          <w:rtl/>
        </w:rPr>
        <w:t>'</w:t>
      </w:r>
      <w:r w:rsidRPr="00C6364A">
        <w:rPr>
          <w:rFonts w:ascii="David" w:hAnsi="David" w:cs="David"/>
          <w:color w:val="000000"/>
          <w:sz w:val="24"/>
          <w:szCs w:val="24"/>
          <w:rtl/>
        </w:rPr>
        <w:t xml:space="preserve"> (להלן: "</w:t>
      </w:r>
      <w:r w:rsidRPr="00C6364A">
        <w:rPr>
          <w:rFonts w:ascii="David" w:hAnsi="David" w:cs="David"/>
          <w:b/>
          <w:bCs/>
          <w:color w:val="000000"/>
          <w:sz w:val="24"/>
          <w:szCs w:val="24"/>
          <w:rtl/>
        </w:rPr>
        <w:t>המנוח</w:t>
      </w:r>
      <w:r w:rsidRPr="00C6364A">
        <w:rPr>
          <w:rFonts w:ascii="David" w:hAnsi="David" w:cs="David"/>
          <w:color w:val="000000"/>
          <w:sz w:val="24"/>
          <w:szCs w:val="24"/>
          <w:rtl/>
        </w:rPr>
        <w:t>") וביום 24.09.2019 מונה עו"ד א</w:t>
      </w:r>
      <w:r w:rsidR="00C6364A" w:rsidRPr="00C6364A">
        <w:rPr>
          <w:rFonts w:ascii="David" w:hAnsi="David" w:cs="David" w:hint="cs"/>
          <w:color w:val="000000"/>
          <w:sz w:val="24"/>
          <w:szCs w:val="24"/>
          <w:rtl/>
        </w:rPr>
        <w:t xml:space="preserve">. </w:t>
      </w:r>
      <w:r w:rsidRPr="00C6364A">
        <w:rPr>
          <w:rFonts w:ascii="David" w:hAnsi="David" w:cs="David"/>
          <w:color w:val="000000"/>
          <w:sz w:val="24"/>
          <w:szCs w:val="24"/>
          <w:rtl/>
        </w:rPr>
        <w:t>ד</w:t>
      </w:r>
      <w:r w:rsidR="00C6364A" w:rsidRPr="00C6364A">
        <w:rPr>
          <w:rFonts w:ascii="David" w:hAnsi="David" w:cs="David" w:hint="cs"/>
          <w:color w:val="000000"/>
          <w:sz w:val="24"/>
          <w:szCs w:val="24"/>
          <w:rtl/>
        </w:rPr>
        <w:t>.</w:t>
      </w:r>
      <w:r w:rsidRPr="00C6364A">
        <w:rPr>
          <w:rFonts w:ascii="David" w:hAnsi="David" w:cs="David"/>
          <w:color w:val="000000"/>
          <w:sz w:val="24"/>
          <w:szCs w:val="24"/>
          <w:rtl/>
        </w:rPr>
        <w:t xml:space="preserve"> כמנהל עיזבונו (להלן: "</w:t>
      </w:r>
      <w:r w:rsidRPr="00C6364A">
        <w:rPr>
          <w:rFonts w:ascii="David" w:hAnsi="David" w:cs="David"/>
          <w:b/>
          <w:bCs/>
          <w:color w:val="000000"/>
          <w:sz w:val="24"/>
          <w:szCs w:val="24"/>
          <w:rtl/>
        </w:rPr>
        <w:t>מנהל עיזבון המנוח</w:t>
      </w:r>
      <w:r w:rsidRPr="00C6364A">
        <w:rPr>
          <w:rFonts w:ascii="David" w:hAnsi="David" w:cs="David"/>
          <w:color w:val="000000"/>
          <w:sz w:val="24"/>
          <w:szCs w:val="24"/>
          <w:rtl/>
        </w:rPr>
        <w:t>"). ביום 30.05.2020 נפטרה אשת המנוח נ</w:t>
      </w:r>
      <w:r w:rsidR="003B6658" w:rsidRPr="00C6364A">
        <w:rPr>
          <w:rFonts w:ascii="David" w:hAnsi="David" w:cs="David" w:hint="cs"/>
          <w:color w:val="000000"/>
          <w:sz w:val="24"/>
          <w:szCs w:val="24"/>
          <w:rtl/>
        </w:rPr>
        <w:t>'</w:t>
      </w:r>
      <w:r w:rsidRPr="00C6364A">
        <w:rPr>
          <w:rFonts w:ascii="David" w:hAnsi="David" w:cs="David"/>
          <w:color w:val="000000"/>
          <w:sz w:val="24"/>
          <w:szCs w:val="24"/>
          <w:rtl/>
        </w:rPr>
        <w:t xml:space="preserve"> (להלן: "</w:t>
      </w:r>
      <w:r w:rsidRPr="00C6364A">
        <w:rPr>
          <w:rFonts w:ascii="David" w:hAnsi="David" w:cs="David"/>
          <w:b/>
          <w:bCs/>
          <w:color w:val="000000"/>
          <w:sz w:val="24"/>
          <w:szCs w:val="24"/>
          <w:rtl/>
        </w:rPr>
        <w:t>המנוחה</w:t>
      </w:r>
      <w:r w:rsidRPr="00C6364A">
        <w:rPr>
          <w:rFonts w:ascii="David" w:hAnsi="David" w:cs="David"/>
          <w:color w:val="000000"/>
          <w:sz w:val="24"/>
          <w:szCs w:val="24"/>
          <w:rtl/>
        </w:rPr>
        <w:t>") וביום 29.10.20120 מונתה עו"ד מ</w:t>
      </w:r>
      <w:r w:rsidR="00C6364A" w:rsidRPr="00C6364A">
        <w:rPr>
          <w:rFonts w:ascii="David" w:hAnsi="David" w:cs="David" w:hint="cs"/>
          <w:color w:val="000000"/>
          <w:sz w:val="24"/>
          <w:szCs w:val="24"/>
          <w:rtl/>
        </w:rPr>
        <w:t>.</w:t>
      </w:r>
      <w:r w:rsidRPr="00C6364A">
        <w:rPr>
          <w:rFonts w:ascii="David" w:hAnsi="David" w:cs="David"/>
          <w:color w:val="000000"/>
          <w:sz w:val="24"/>
          <w:szCs w:val="24"/>
          <w:rtl/>
        </w:rPr>
        <w:t xml:space="preserve"> א</w:t>
      </w:r>
      <w:r w:rsidR="00C6364A" w:rsidRPr="00C6364A">
        <w:rPr>
          <w:rFonts w:ascii="David" w:hAnsi="David" w:cs="David" w:hint="cs"/>
          <w:color w:val="000000"/>
          <w:sz w:val="24"/>
          <w:szCs w:val="24"/>
          <w:rtl/>
        </w:rPr>
        <w:t>.</w:t>
      </w:r>
      <w:r w:rsidRPr="00C6364A">
        <w:rPr>
          <w:rFonts w:ascii="David" w:hAnsi="David" w:cs="David"/>
          <w:color w:val="000000"/>
          <w:sz w:val="24"/>
          <w:szCs w:val="24"/>
          <w:rtl/>
        </w:rPr>
        <w:t xml:space="preserve"> כמנהלת עיזבונה (להלן: "</w:t>
      </w:r>
      <w:r w:rsidRPr="00C6364A">
        <w:rPr>
          <w:rFonts w:ascii="David" w:hAnsi="David" w:cs="David"/>
          <w:b/>
          <w:bCs/>
          <w:color w:val="000000"/>
          <w:sz w:val="24"/>
          <w:szCs w:val="24"/>
          <w:rtl/>
        </w:rPr>
        <w:t>מנהלת עיזבון המנוחה</w:t>
      </w:r>
      <w:r w:rsidRPr="00C6364A">
        <w:rPr>
          <w:rFonts w:ascii="David" w:hAnsi="David" w:cs="David"/>
          <w:color w:val="000000"/>
          <w:sz w:val="24"/>
          <w:szCs w:val="24"/>
          <w:rtl/>
        </w:rPr>
        <w:t>"). המנוח והמנוחה היו נשואים זה לזו ויורשיהם הינם ילדיהם, ש</w:t>
      </w:r>
      <w:r w:rsidR="003B6658" w:rsidRPr="00C6364A">
        <w:rPr>
          <w:rFonts w:ascii="David" w:hAnsi="David" w:cs="David" w:hint="cs"/>
          <w:color w:val="000000"/>
          <w:sz w:val="24"/>
          <w:szCs w:val="24"/>
          <w:rtl/>
        </w:rPr>
        <w:t>'</w:t>
      </w:r>
      <w:r w:rsidRPr="00C6364A">
        <w:rPr>
          <w:rFonts w:ascii="David" w:hAnsi="David" w:cs="David"/>
          <w:color w:val="000000"/>
          <w:sz w:val="24"/>
          <w:szCs w:val="24"/>
          <w:rtl/>
        </w:rPr>
        <w:t xml:space="preserve"> וא</w:t>
      </w:r>
      <w:r w:rsidR="003B6658" w:rsidRPr="00C6364A">
        <w:rPr>
          <w:rFonts w:ascii="David" w:hAnsi="David" w:cs="David" w:hint="cs"/>
          <w:color w:val="000000"/>
          <w:sz w:val="24"/>
          <w:szCs w:val="24"/>
          <w:rtl/>
        </w:rPr>
        <w:t>'</w:t>
      </w:r>
      <w:r w:rsidRPr="00C6364A">
        <w:rPr>
          <w:rFonts w:ascii="David" w:hAnsi="David" w:cs="David"/>
          <w:color w:val="000000"/>
          <w:sz w:val="24"/>
          <w:szCs w:val="24"/>
          <w:rtl/>
        </w:rPr>
        <w:t xml:space="preserve"> (להלן: "</w:t>
      </w:r>
      <w:r w:rsidRPr="00C6364A">
        <w:rPr>
          <w:rFonts w:ascii="David" w:hAnsi="David" w:cs="David"/>
          <w:b/>
          <w:bCs/>
          <w:color w:val="000000"/>
          <w:sz w:val="24"/>
          <w:szCs w:val="24"/>
          <w:rtl/>
        </w:rPr>
        <w:t>המבקשים 3 ו-4</w:t>
      </w:r>
      <w:r w:rsidRPr="00C6364A">
        <w:rPr>
          <w:rFonts w:ascii="David" w:hAnsi="David" w:cs="David"/>
          <w:color w:val="000000"/>
          <w:sz w:val="24"/>
          <w:szCs w:val="24"/>
          <w:rtl/>
        </w:rPr>
        <w:t>" בהתאמה). הן עיזבון המנוח והמנוחה כללו את המקרקעין מושא בקשת רשות הערעור שלפניי.</w:t>
      </w:r>
    </w:p>
    <w:p w:rsidR="00B809D4" w:rsidRDefault="00B809D4" w:rsidP="00B809D4">
      <w:pPr>
        <w:pStyle w:val="ad"/>
        <w:spacing w:line="360" w:lineRule="auto"/>
        <w:ind w:left="84"/>
        <w:jc w:val="both"/>
        <w:rPr>
          <w:rFonts w:ascii="David" w:hAnsi="David" w:cs="David"/>
          <w:color w:val="000000"/>
          <w:sz w:val="24"/>
          <w:szCs w:val="24"/>
        </w:rPr>
      </w:pPr>
    </w:p>
    <w:p w:rsidR="00B809D4" w:rsidRDefault="00B809D4" w:rsidP="003B6658">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 xml:space="preserve">ביום 03.06.2020 נפתח התיק בבית משפט קמא עם בקשת מנהל עיזבון המנוח, המוסכמת על ידי יורשיו, לאישור מכר המקרקעין </w:t>
      </w:r>
      <w:r>
        <w:rPr>
          <w:rFonts w:ascii="David" w:hAnsi="David" w:cs="David"/>
          <w:sz w:val="24"/>
          <w:szCs w:val="24"/>
          <w:rtl/>
        </w:rPr>
        <w:t>הידועים כגוש 11570, חלקה 69, תת חלקה 2 (להלן: "</w:t>
      </w:r>
      <w:r>
        <w:rPr>
          <w:rFonts w:ascii="David" w:hAnsi="David" w:cs="David"/>
          <w:b/>
          <w:bCs/>
          <w:sz w:val="24"/>
          <w:szCs w:val="24"/>
          <w:rtl/>
        </w:rPr>
        <w:t>הסכם המכר</w:t>
      </w:r>
      <w:r>
        <w:rPr>
          <w:rFonts w:ascii="David" w:hAnsi="David" w:cs="David"/>
          <w:sz w:val="24"/>
          <w:szCs w:val="24"/>
          <w:rtl/>
        </w:rPr>
        <w:t>", "</w:t>
      </w:r>
      <w:r>
        <w:rPr>
          <w:rFonts w:ascii="David" w:hAnsi="David" w:cs="David"/>
          <w:b/>
          <w:bCs/>
          <w:sz w:val="24"/>
          <w:szCs w:val="24"/>
          <w:rtl/>
        </w:rPr>
        <w:t>המקרקעין</w:t>
      </w:r>
      <w:r>
        <w:rPr>
          <w:rFonts w:ascii="David" w:hAnsi="David" w:cs="David"/>
          <w:sz w:val="24"/>
          <w:szCs w:val="24"/>
          <w:rtl/>
        </w:rPr>
        <w:t>") לרוכשת גב' ש</w:t>
      </w:r>
      <w:r w:rsidR="003B6658">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הרוכשת</w:t>
      </w:r>
      <w:r>
        <w:rPr>
          <w:rFonts w:ascii="David" w:hAnsi="David" w:cs="David"/>
          <w:sz w:val="24"/>
          <w:szCs w:val="24"/>
          <w:rtl/>
        </w:rPr>
        <w:t xml:space="preserve">") </w:t>
      </w:r>
      <w:r>
        <w:rPr>
          <w:rFonts w:ascii="David" w:hAnsi="David" w:cs="David"/>
          <w:color w:val="000000"/>
          <w:sz w:val="24"/>
          <w:szCs w:val="24"/>
          <w:rtl/>
        </w:rPr>
        <w:t>תמורת סך של 1,020,000, ובהתאם לסעיף 34א' לחוק המכר. באותה עת המנוחה הייתה עודנה בחיים ובבקשה צוין כי תכליתה העיקרית של המכירה הינה פירעון חובותיו הרבים של עיזבון המנוח באמצעות כספי המכר. לאחר פטירת המנוחה ומינוי מנהלת עיזבונה הוגשה בקשה נוספת ביום 02.12.2020 לאישור מכר המקרקעין בהסכמת היורשים וביחס לשני העיזבונות, בהתאם לסעיף 34א' לחוק המכר.</w:t>
      </w:r>
    </w:p>
    <w:p w:rsidR="00B809D4" w:rsidRDefault="00B809D4" w:rsidP="00B809D4">
      <w:pPr>
        <w:pStyle w:val="ad"/>
        <w:rPr>
          <w:rFonts w:ascii="David" w:hAnsi="David" w:cs="David"/>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tl/>
        </w:rPr>
      </w:pPr>
      <w:r>
        <w:rPr>
          <w:rFonts w:ascii="David" w:hAnsi="David" w:cs="David"/>
          <w:color w:val="000000"/>
          <w:sz w:val="24"/>
          <w:szCs w:val="24"/>
          <w:rtl/>
        </w:rPr>
        <w:t>ביום</w:t>
      </w:r>
      <w:r>
        <w:rPr>
          <w:rFonts w:ascii="David" w:hAnsi="David" w:cs="David"/>
          <w:sz w:val="24"/>
          <w:szCs w:val="24"/>
          <w:rtl/>
        </w:rPr>
        <w:t xml:space="preserve"> 05.12.2020 הורה בית המשפט קמא לב"כ היועמ"ש להגיש תגובתו לבקשה לאישור מכר המקרקעין. ביום 04.01.2021 הוגשה עמדת היועמ"ש שעיקרה כי כיוון והיורשים הינם בגירים, כשירים ומסכימים לבקשה, אין התנגדות למבוקש.</w:t>
      </w:r>
      <w:r>
        <w:rPr>
          <w:rFonts w:ascii="David" w:hAnsi="David" w:cs="David"/>
          <w:color w:val="000000"/>
          <w:sz w:val="24"/>
          <w:szCs w:val="24"/>
          <w:rtl/>
        </w:rPr>
        <w:t xml:space="preserve"> ביום 06.01.2021 הגישו מנהלי עיזבון המנוחים בקשה חוזרת לאישור הסכם המכר. בית משפט קמא ביקש הבהרות ואלה הוגשו.</w:t>
      </w:r>
    </w:p>
    <w:p w:rsidR="00B809D4" w:rsidRDefault="00B809D4" w:rsidP="00B809D4">
      <w:pPr>
        <w:pStyle w:val="ad"/>
        <w:rPr>
          <w:rFonts w:ascii="David" w:hAnsi="David" w:cs="David"/>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tl/>
        </w:rPr>
      </w:pPr>
      <w:r>
        <w:rPr>
          <w:rFonts w:ascii="David" w:hAnsi="David" w:cs="David"/>
          <w:sz w:val="24"/>
          <w:szCs w:val="24"/>
          <w:rtl/>
        </w:rPr>
        <w:t xml:space="preserve">ביום 12.01.2021, נוכח הסכמת יורשי המנוחים והיעדר התנגדות ב"כ היועמ"ש, אישר בית משפט קמא את מכר המקרקעין לרוכשת והורה על סגירת תיק בית המשפט. באותו היום (12.01.2021) נחתמה פסיקתה אשר הוגשה על ידי מנהלי עיזבונות המנוחים המורה על מכירת זכויות המנוחים במקרקעין לרוכשת כאשר מכר המקרקעין הינו בהתאם לסעיף 34א לחוק המכר. </w:t>
      </w:r>
    </w:p>
    <w:p w:rsidR="00B809D4" w:rsidRDefault="00B809D4" w:rsidP="00B809D4">
      <w:pPr>
        <w:pStyle w:val="ad"/>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tl/>
        </w:rPr>
      </w:pPr>
      <w:r>
        <w:rPr>
          <w:rFonts w:ascii="David" w:hAnsi="David" w:cs="David"/>
          <w:color w:val="000000"/>
          <w:sz w:val="24"/>
          <w:szCs w:val="24"/>
          <w:rtl/>
        </w:rPr>
        <w:t xml:space="preserve">ביום 01.12.2021, הוגשה בקשה מאת מנהל עיזבון המנוח למתן צו מכר, וכן פסיקתה בה הוראה על ביטול כל העיקולים הרשומים על המקרקעין, 11 במספרם, שהוטלו בין השנים 1992-2019. לאחר תשלום אגרה הוגשה ביום 28.03.2022 בקשה חוזרת למתן צו מכר. בית משפט קמא קבע כי מנהל העיזבון יגיש הבקשה לב"כ היועמ"ש וליורשים. ב"כ היועמ"ש הגיש עמדתו כי הואיל ושני היורשים הינם בגירים וכשירים ב"כ היועמ"ש לא תתערב במבוקש. </w:t>
      </w:r>
    </w:p>
    <w:p w:rsidR="00B809D4" w:rsidRDefault="00B809D4" w:rsidP="00B809D4">
      <w:pPr>
        <w:pStyle w:val="ad"/>
        <w:spacing w:line="360" w:lineRule="auto"/>
        <w:ind w:left="84"/>
        <w:jc w:val="both"/>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 xml:space="preserve">ביום 14.12.2022 הגיש מנהל עיזבון המנוח בקשה חוזרת למתן צו מכר לפי סעיף 34 א' לחוק המכר, הכוללת פסיקתא לביטול כל העיקולים שהוטלו על המקרקעין. ביום 23.12.2022 כתב בית משפט קמא כי לא ברורה המסגרת החוקית מכוחה מבוקש למחוק העיקולים שעל המקרקעין, כדלקמן: </w:t>
      </w:r>
      <w:r>
        <w:rPr>
          <w:rFonts w:ascii="David" w:hAnsi="David" w:cs="David"/>
          <w:b/>
          <w:bCs/>
          <w:color w:val="000000"/>
          <w:sz w:val="24"/>
          <w:szCs w:val="24"/>
          <w:rtl/>
        </w:rPr>
        <w:t>"1. המכר אושר עוד ביום 12.1.2021. על כן לא ברור מה היא המסגרת החוקית מכוחה מבוקש כעת למחוק עיקולים אשר נרשמו על הנכס. [...]."</w:t>
      </w:r>
      <w:r>
        <w:rPr>
          <w:rFonts w:ascii="David" w:hAnsi="David" w:cs="David"/>
          <w:color w:val="000000"/>
          <w:sz w:val="24"/>
          <w:szCs w:val="24"/>
          <w:rtl/>
        </w:rPr>
        <w:t xml:space="preserve">. מנהל עיזבון המנוח הגיש תגובתו שנענתה ביום 19.03.2023 ע"י בית משפט קמא, ושעיקרה: </w:t>
      </w:r>
      <w:r>
        <w:rPr>
          <w:rFonts w:ascii="David" w:hAnsi="David" w:cs="David"/>
          <w:b/>
          <w:bCs/>
          <w:color w:val="000000"/>
          <w:sz w:val="24"/>
          <w:szCs w:val="24"/>
          <w:rtl/>
        </w:rPr>
        <w:t>"[...] 2. כמו כן יש לציין מה המסגרת החוקית מכוחה מבוקש כעת למחוק עיקולים (11 עיקולים!) אשר נרשמו על הנכס, ביחוד כאשר יכול והעיקולים הוטלו על ידי גורמים שלישיים וחיצוניים לתיק אשר התנהל בפני מותב זה. [...]."</w:t>
      </w:r>
      <w:r>
        <w:rPr>
          <w:rFonts w:ascii="David" w:hAnsi="David" w:cs="David"/>
          <w:color w:val="000000"/>
          <w:sz w:val="24"/>
          <w:szCs w:val="24"/>
          <w:rtl/>
        </w:rPr>
        <w:t xml:space="preserve">. </w:t>
      </w:r>
    </w:p>
    <w:p w:rsidR="00B809D4" w:rsidRDefault="00B809D4" w:rsidP="00B809D4">
      <w:pPr>
        <w:pStyle w:val="ad"/>
        <w:spacing w:line="360" w:lineRule="auto"/>
        <w:ind w:left="84"/>
        <w:jc w:val="both"/>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ביום 11.05.2023 הגיש מנהל עיזבון המנוח בקשה נוספת למתן צו מכר, בה פירט את המסגרת החוקית מכוחה נדרשה הסרת העיקולים לגרסתו. ביום 15.5.2023 הורה בית המשפט קמא לפרט אודות העיקולים ולהבהיר האם חלקם הוטלו על ידי גורמים חיצוניים לתיק בית המשפט קמא. ביום 12.06.2023 הוגשה הודעה המציינת את פרטי העיקולים ובכלל זה מועד הטלתם, מס' השטר בגינן נרשמו, מספרי תיקי ההוצל"פ במסגרתם הוטלו ושמות הזוכים בהם ככל שהיה ניתן. סכום החובות בגינן הוטלו העיקולים לא צוין.</w:t>
      </w:r>
    </w:p>
    <w:p w:rsidR="00B809D4" w:rsidRDefault="00B809D4" w:rsidP="00B809D4">
      <w:pPr>
        <w:pStyle w:val="ad"/>
        <w:spacing w:line="360" w:lineRule="auto"/>
        <w:ind w:left="84"/>
        <w:jc w:val="both"/>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ביום 14.06.2023 ניתנה החלטת בית משפט קמא, מושא בקשת הערעור שלפניי.</w:t>
      </w:r>
    </w:p>
    <w:p w:rsidR="00B809D4" w:rsidRDefault="00B809D4" w:rsidP="00B809D4">
      <w:pPr>
        <w:pStyle w:val="ad"/>
        <w:rPr>
          <w:rFonts w:ascii="David" w:hAnsi="David" w:cs="David"/>
          <w:color w:val="000000"/>
          <w:sz w:val="24"/>
          <w:szCs w:val="24"/>
          <w:highlight w:val="yellow"/>
          <w:rtl/>
        </w:rPr>
      </w:pPr>
    </w:p>
    <w:p w:rsidR="00B809D4" w:rsidRDefault="00B809D4" w:rsidP="00B809D4">
      <w:pPr>
        <w:pStyle w:val="ad"/>
        <w:spacing w:line="360" w:lineRule="auto"/>
        <w:ind w:left="-341"/>
        <w:jc w:val="both"/>
        <w:rPr>
          <w:rFonts w:ascii="David" w:hAnsi="David" w:cs="David"/>
          <w:b/>
          <w:bCs/>
          <w:color w:val="000000"/>
          <w:sz w:val="24"/>
          <w:szCs w:val="24"/>
          <w:rtl/>
        </w:rPr>
      </w:pPr>
      <w:r>
        <w:rPr>
          <w:rFonts w:ascii="David" w:hAnsi="David" w:cs="David"/>
          <w:b/>
          <w:bCs/>
          <w:sz w:val="24"/>
          <w:szCs w:val="24"/>
          <w:rtl/>
        </w:rPr>
        <w:t>תמצית טענות מנהלי העיזבון</w:t>
      </w:r>
    </w:p>
    <w:p w:rsidR="00B809D4" w:rsidRDefault="00B809D4" w:rsidP="00B809D4">
      <w:pPr>
        <w:pStyle w:val="ad"/>
        <w:spacing w:line="360" w:lineRule="auto"/>
        <w:ind w:left="84"/>
        <w:jc w:val="both"/>
        <w:rPr>
          <w:rFonts w:ascii="David" w:hAnsi="David" w:cs="David"/>
          <w:color w:val="000000"/>
          <w:sz w:val="24"/>
          <w:szCs w:val="24"/>
          <w:rtl/>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כאשר נמכר נכס על ידי בית משפט על פי סעיף 34א' לחוק המכר, שכאמור נעשה ביום 12.01.2021, עוברת הבעלות לרוכש כאשר היא נקיה מכל שעבוד, עיקול וזכות אחרת בנכס, חוץ מזכות שלפי תנאי המכירה אינה מתבטלת ומזכות שאינה משמשת ערובה לחיוב כספי. בהינתן העובדה שמכר המקרקעין אושר על ידי בית המשפט בהתאם לסעיף האמור, בטלים מאליהם כל העיקולים הרובצים על זכויות המנוח במקרקעין אשר הוטלו במסגרת תיקי ההוצאה לפועל, קודם לאישור מכר הדירה. חתימת צו המכר הפורמלי בדבר מחיקת העיקולים הרובצים על זכויות המנוחים על המקרקעין הינו סעד נלווה ומשלים לאישור מכר המקרקעין בהתאם לסעיף 34א' לחוק המכר והוא משקף את המצב המשפטי האוטומטי המדבר בעד עצמו בדבר מירוק זכויות, ללא כל צורך בהידרשות לסוגיית גבייה וחלוקה. צו המכר הפורמלי נדרש להצגה בלשכת רישום המקרקעין על מנת שניתן יהיה להעביר רישום הזכויות במקרקעין על שם הרוכשת. לא היה מקום להתנות החתימה בביצוע פעולות נוספות שלא ניתנה לגביהן הנחיה קודם לאישור המכר.</w:t>
      </w:r>
    </w:p>
    <w:p w:rsidR="00B809D4" w:rsidRDefault="00B809D4" w:rsidP="00B809D4">
      <w:pPr>
        <w:pStyle w:val="ad"/>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tl/>
        </w:rPr>
      </w:pPr>
      <w:r>
        <w:rPr>
          <w:rFonts w:ascii="David" w:hAnsi="David" w:cs="David"/>
          <w:color w:val="000000"/>
          <w:sz w:val="24"/>
          <w:szCs w:val="24"/>
          <w:rtl/>
        </w:rPr>
        <w:t xml:space="preserve">לא היה מקום להפנות את מנהל העיזבון להסדרת חובות העיזבון לצורך חתימת צו מכר פורמלי המורה על מחיקת העיקולים. ברור ומובן כי מנהל העיזבון יפעל לסילוק חובות העיזבון על פי </w:t>
      </w:r>
      <w:r>
        <w:rPr>
          <w:rFonts w:ascii="David" w:hAnsi="David" w:cs="David"/>
          <w:color w:val="000000"/>
          <w:sz w:val="24"/>
          <w:szCs w:val="24"/>
          <w:rtl/>
        </w:rPr>
        <w:lastRenderedPageBreak/>
        <w:t>הסעיפים המתאימים מחוק הירושה, התשכ"ה-1965 (להלן: "</w:t>
      </w:r>
      <w:r>
        <w:rPr>
          <w:rFonts w:ascii="David" w:hAnsi="David" w:cs="David"/>
          <w:b/>
          <w:bCs/>
          <w:color w:val="000000"/>
          <w:sz w:val="24"/>
          <w:szCs w:val="24"/>
          <w:rtl/>
        </w:rPr>
        <w:t>חוק הירושה</w:t>
      </w:r>
      <w:r>
        <w:rPr>
          <w:rFonts w:ascii="David" w:hAnsi="David" w:cs="David"/>
          <w:color w:val="000000"/>
          <w:sz w:val="24"/>
          <w:szCs w:val="24"/>
          <w:rtl/>
        </w:rPr>
        <w:t>"), כאשר תחילה ישתמש בכספי העיזבון לסילוק חובות העיזבון. כספי המכר מוחזקים בחשבון נאמנות מטעם מנהל העיזבון הפועל לפי הוראות בית המשפט וטענות המעקלים שמורות להם. אין בשלב זה להקדים הסדרת חובות העיזבון טרם העברת זכויות הרוכשת בדירה על שמה, שכן לא מן הנמנע כי לא היה בתמורת מכר המקרקעין כדי לפרוע מלוא חובות העיזבון ואף יכול ויהיה צורך בנקיטת הליך לניהול עיזבון המנוח לפי חוק חדלות פירעון ושיקום כלכלי, התשע"ח-2018.</w:t>
      </w:r>
    </w:p>
    <w:p w:rsidR="00B809D4" w:rsidRDefault="00B809D4" w:rsidP="00B809D4">
      <w:pPr>
        <w:pStyle w:val="ad"/>
        <w:rPr>
          <w:rFonts w:ascii="David" w:hAnsi="David" w:cs="David"/>
          <w:color w:val="000000"/>
          <w:sz w:val="24"/>
          <w:szCs w:val="24"/>
          <w:rtl/>
        </w:rPr>
      </w:pPr>
    </w:p>
    <w:p w:rsidR="00B809D4" w:rsidRDefault="00B809D4" w:rsidP="00B809D4">
      <w:pPr>
        <w:pStyle w:val="ad"/>
        <w:numPr>
          <w:ilvl w:val="0"/>
          <w:numId w:val="1"/>
        </w:numPr>
        <w:spacing w:line="360" w:lineRule="auto"/>
        <w:ind w:left="-58"/>
        <w:jc w:val="both"/>
        <w:rPr>
          <w:rFonts w:ascii="David" w:hAnsi="David" w:cs="David"/>
          <w:color w:val="000000"/>
          <w:sz w:val="24"/>
          <w:szCs w:val="24"/>
          <w:rtl/>
        </w:rPr>
      </w:pPr>
      <w:r>
        <w:rPr>
          <w:rFonts w:ascii="David" w:hAnsi="David" w:cs="David"/>
          <w:color w:val="000000"/>
          <w:sz w:val="24"/>
          <w:szCs w:val="24"/>
          <w:rtl/>
        </w:rPr>
        <w:t>תוצאת החלטת בית משפט קמא אינה סבירה. לא ניתן להשלים עם מצב בו הרוכשת, ששילמה את מלוא התמורה שנקבעה בהסכם המכר לאור אישורו של בית משפט קמא, תיוותר "בת-ערובה" עד להסדרת חובות העיזבון ולא תוכל להירשם כבעלת זכויות הדירה שנרכשה על ידה.</w:t>
      </w:r>
    </w:p>
    <w:p w:rsidR="00B809D4" w:rsidRDefault="00B809D4" w:rsidP="00B809D4">
      <w:pPr>
        <w:pStyle w:val="ad"/>
        <w:spacing w:line="360" w:lineRule="auto"/>
        <w:ind w:left="-341"/>
        <w:jc w:val="both"/>
        <w:rPr>
          <w:rFonts w:ascii="David" w:hAnsi="David" w:cs="David"/>
          <w:b/>
          <w:bCs/>
          <w:sz w:val="24"/>
          <w:szCs w:val="24"/>
        </w:rPr>
      </w:pPr>
    </w:p>
    <w:p w:rsidR="00B809D4" w:rsidRDefault="00B809D4" w:rsidP="00B809D4">
      <w:pPr>
        <w:pStyle w:val="ad"/>
        <w:spacing w:line="360" w:lineRule="auto"/>
        <w:ind w:left="-341"/>
        <w:jc w:val="both"/>
        <w:rPr>
          <w:rFonts w:ascii="David" w:hAnsi="David" w:cs="David"/>
          <w:b/>
          <w:bCs/>
          <w:sz w:val="24"/>
          <w:szCs w:val="24"/>
          <w:rtl/>
        </w:rPr>
      </w:pPr>
      <w:r>
        <w:rPr>
          <w:rFonts w:ascii="David" w:hAnsi="David" w:cs="David"/>
          <w:b/>
          <w:bCs/>
          <w:sz w:val="24"/>
          <w:szCs w:val="24"/>
          <w:rtl/>
        </w:rPr>
        <w:t>דיון והכרעה:</w:t>
      </w:r>
    </w:p>
    <w:p w:rsidR="00B809D4" w:rsidRDefault="00B809D4" w:rsidP="00B809D4">
      <w:pPr>
        <w:pStyle w:val="ad"/>
        <w:spacing w:line="360" w:lineRule="auto"/>
        <w:ind w:left="-341"/>
        <w:jc w:val="both"/>
        <w:rPr>
          <w:rFonts w:ascii="David" w:hAnsi="David" w:cs="David"/>
          <w:b/>
          <w:bCs/>
          <w:sz w:val="24"/>
          <w:szCs w:val="24"/>
          <w:rtl/>
        </w:rPr>
      </w:pPr>
    </w:p>
    <w:p w:rsidR="00B809D4" w:rsidRDefault="00B809D4" w:rsidP="00B809D4">
      <w:pPr>
        <w:pStyle w:val="ad"/>
        <w:numPr>
          <w:ilvl w:val="0"/>
          <w:numId w:val="1"/>
        </w:numPr>
        <w:spacing w:line="360" w:lineRule="auto"/>
        <w:ind w:left="-58"/>
        <w:jc w:val="both"/>
        <w:rPr>
          <w:rFonts w:ascii="David" w:hAnsi="David" w:cs="David"/>
          <w:color w:val="000000"/>
          <w:sz w:val="24"/>
          <w:szCs w:val="24"/>
          <w:rtl/>
        </w:rPr>
      </w:pPr>
      <w:r>
        <w:rPr>
          <w:rFonts w:ascii="David" w:hAnsi="David" w:cs="David"/>
          <w:color w:val="000000"/>
          <w:sz w:val="24"/>
          <w:szCs w:val="24"/>
          <w:rtl/>
        </w:rPr>
        <w:t>לאחר עיון בבקשת רשות הערעור שלפניי על נספחיה וכן במסמכי תיק קמא, מצאתי כי יש לתת רשות ערעור לבקשה, לדון בערעור ולדחותה, והכל מכוח סמכותי עפ"י תקנה 138(5) לתקנות סדר הדין האזרחי, התשע"ט-2018 (להלן: "</w:t>
      </w:r>
      <w:r>
        <w:rPr>
          <w:rFonts w:ascii="David" w:hAnsi="David" w:cs="David"/>
          <w:b/>
          <w:bCs/>
          <w:color w:val="000000"/>
          <w:sz w:val="24"/>
          <w:szCs w:val="24"/>
          <w:rtl/>
        </w:rPr>
        <w:t>התקנות</w:t>
      </w:r>
      <w:r>
        <w:rPr>
          <w:rFonts w:ascii="David" w:hAnsi="David" w:cs="David"/>
          <w:color w:val="000000"/>
          <w:sz w:val="24"/>
          <w:szCs w:val="24"/>
          <w:rtl/>
        </w:rPr>
        <w:t>"), ולהלן נימוקיי.</w:t>
      </w:r>
    </w:p>
    <w:p w:rsidR="00B809D4" w:rsidRDefault="00B809D4" w:rsidP="00B809D4">
      <w:pPr>
        <w:pStyle w:val="ad"/>
        <w:spacing w:line="360" w:lineRule="auto"/>
        <w:ind w:left="84"/>
        <w:jc w:val="both"/>
        <w:rPr>
          <w:rFonts w:ascii="David" w:hAnsi="David" w:cs="David"/>
          <w:color w:val="000000"/>
          <w:sz w:val="24"/>
          <w:szCs w:val="24"/>
          <w:highlight w:val="yellow"/>
        </w:rPr>
      </w:pPr>
    </w:p>
    <w:p w:rsidR="003B6658" w:rsidRDefault="00B809D4" w:rsidP="001C2EE3">
      <w:pPr>
        <w:pStyle w:val="ad"/>
        <w:numPr>
          <w:ilvl w:val="0"/>
          <w:numId w:val="1"/>
        </w:numPr>
        <w:spacing w:line="360" w:lineRule="auto"/>
        <w:ind w:left="-58"/>
        <w:jc w:val="both"/>
        <w:rPr>
          <w:rFonts w:ascii="David" w:hAnsi="David" w:cs="David"/>
          <w:color w:val="000000"/>
          <w:sz w:val="24"/>
          <w:szCs w:val="24"/>
        </w:rPr>
      </w:pPr>
      <w:r w:rsidRPr="003B6658">
        <w:rPr>
          <w:rFonts w:ascii="David" w:hAnsi="David" w:cs="David"/>
          <w:color w:val="000000"/>
          <w:sz w:val="24"/>
          <w:szCs w:val="24"/>
          <w:rtl/>
        </w:rPr>
        <w:t>בין השנים 1992-2019 הוטלו על המקרקעין 11 עיקולים</w:t>
      </w:r>
      <w:r w:rsidR="0045096B" w:rsidRPr="003B6658">
        <w:rPr>
          <w:rFonts w:ascii="David" w:hAnsi="David" w:cs="David" w:hint="cs"/>
          <w:color w:val="000000"/>
          <w:sz w:val="24"/>
          <w:szCs w:val="24"/>
          <w:rtl/>
        </w:rPr>
        <w:t xml:space="preserve"> שלגביהם לא הודיעו מנהל העזבון לבימ"ש קמא ולבימ"ש זה מה גובה כל עיקול ומהו הסכום הכולל של החובות. </w:t>
      </w:r>
    </w:p>
    <w:p w:rsidR="003B6658" w:rsidRDefault="003B6658" w:rsidP="003B6658">
      <w:pPr>
        <w:pStyle w:val="ad"/>
        <w:spacing w:line="360" w:lineRule="auto"/>
        <w:ind w:left="-58"/>
        <w:jc w:val="both"/>
        <w:rPr>
          <w:rFonts w:ascii="David" w:hAnsi="David" w:cs="David"/>
          <w:color w:val="000000"/>
          <w:sz w:val="24"/>
          <w:szCs w:val="24"/>
          <w:rtl/>
        </w:rPr>
      </w:pPr>
    </w:p>
    <w:p w:rsidR="00B809D4" w:rsidRPr="003B6658" w:rsidRDefault="00B809D4" w:rsidP="003B6658">
      <w:pPr>
        <w:pStyle w:val="ad"/>
        <w:spacing w:line="360" w:lineRule="auto"/>
        <w:ind w:left="-58"/>
        <w:jc w:val="both"/>
        <w:rPr>
          <w:rFonts w:ascii="David" w:hAnsi="David" w:cs="David"/>
          <w:color w:val="000000"/>
          <w:sz w:val="24"/>
          <w:szCs w:val="24"/>
        </w:rPr>
      </w:pPr>
      <w:r w:rsidRPr="003B6658">
        <w:rPr>
          <w:rFonts w:ascii="David" w:hAnsi="David" w:cs="David"/>
          <w:color w:val="000000"/>
          <w:sz w:val="24"/>
          <w:szCs w:val="24"/>
          <w:rtl/>
        </w:rPr>
        <w:t>עיקולים אלה הוטלו במסגרת רשויות ההוצאה לפועל, לשכות חיפה, עכו ונתניה, כשהזוכים הינם ישויות משפטיות שונות, לרבות אנשים פרטיים, עיזבון, חברות בע"מ, וכן זוכים לא ידועים שלא ניתנו לאיתור הואיל ומדובר בתיקים ישנים.</w:t>
      </w:r>
    </w:p>
    <w:p w:rsidR="00B809D4" w:rsidRPr="0045096B" w:rsidRDefault="00B809D4" w:rsidP="00B809D4">
      <w:pPr>
        <w:pStyle w:val="ad"/>
        <w:spacing w:line="360" w:lineRule="auto"/>
        <w:ind w:left="-58"/>
        <w:jc w:val="both"/>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עיקולים אלה הינם למעשה פעולות משפטית שבוצעו בעבר על ידי נושים נגד בעל המקר</w:t>
      </w:r>
      <w:r w:rsidR="0045096B">
        <w:rPr>
          <w:rFonts w:ascii="David" w:hAnsi="David" w:cs="David"/>
          <w:color w:val="000000"/>
          <w:sz w:val="24"/>
          <w:szCs w:val="24"/>
          <w:rtl/>
        </w:rPr>
        <w:t xml:space="preserve">קעין, הוא המנוח, ושמטרתן הגבלת </w:t>
      </w:r>
      <w:r>
        <w:rPr>
          <w:rFonts w:ascii="David" w:hAnsi="David" w:cs="David"/>
          <w:color w:val="000000"/>
          <w:sz w:val="24"/>
          <w:szCs w:val="24"/>
          <w:rtl/>
        </w:rPr>
        <w:t xml:space="preserve">סחרות ויכולת השימוש בהם, באופן שאלה יוכלו להיפרע מן המקרקעין בעבור חוב המגיע להם. כידוע, העיקול מהווה סעד דיוני בלבד שבא למנוע מבעל הנכס או המחזיק בו מלסכל את פירעון החוב על ידי הברחת הנכס או העברת הזכויות בו לאחרים (עיינו ע"א 533/87 </w:t>
      </w:r>
      <w:r>
        <w:rPr>
          <w:rFonts w:ascii="David" w:hAnsi="David" w:cs="David"/>
          <w:b/>
          <w:bCs/>
          <w:color w:val="000000"/>
          <w:sz w:val="24"/>
          <w:szCs w:val="24"/>
          <w:rtl/>
        </w:rPr>
        <w:t>ארגון מושבי הפועל המזרחי בע"מ נ' משה ולך</w:t>
      </w:r>
      <w:r>
        <w:rPr>
          <w:rFonts w:ascii="David" w:hAnsi="David" w:cs="David"/>
          <w:color w:val="000000"/>
          <w:sz w:val="24"/>
          <w:szCs w:val="24"/>
          <w:rtl/>
        </w:rPr>
        <w:t xml:space="preserve">, מג(2) 864 (1989), ע"א 1226/90 </w:t>
      </w:r>
      <w:r>
        <w:rPr>
          <w:rFonts w:ascii="David" w:hAnsi="David" w:cs="David"/>
          <w:b/>
          <w:bCs/>
          <w:color w:val="000000"/>
          <w:sz w:val="24"/>
          <w:szCs w:val="24"/>
          <w:rtl/>
        </w:rPr>
        <w:t>בנק לאומי לישראל בע"מ נ' הסתדרות הרבנים דאמריקה</w:t>
      </w:r>
      <w:r>
        <w:rPr>
          <w:rFonts w:ascii="David" w:hAnsi="David" w:cs="David"/>
          <w:color w:val="000000"/>
          <w:sz w:val="24"/>
          <w:szCs w:val="24"/>
          <w:rtl/>
        </w:rPr>
        <w:t xml:space="preserve"> פ"ד מט(1), 177 (1995), ע"א (מחוזי מרכז) 50612-04-15 </w:t>
      </w:r>
      <w:r>
        <w:rPr>
          <w:rFonts w:ascii="David" w:hAnsi="David" w:cs="David"/>
          <w:b/>
          <w:bCs/>
          <w:color w:val="000000"/>
          <w:sz w:val="24"/>
          <w:szCs w:val="24"/>
          <w:rtl/>
        </w:rPr>
        <w:t>מנופי אבי תובלה ושירותים (1991) בע"מ נ'</w:t>
      </w:r>
      <w:r>
        <w:rPr>
          <w:rFonts w:ascii="David" w:hAnsi="David" w:cs="David"/>
          <w:b/>
          <w:bCs/>
          <w:color w:val="000000"/>
          <w:sz w:val="24"/>
          <w:szCs w:val="24"/>
        </w:rPr>
        <w:t>ziemann ludwigsburg gmbh</w:t>
      </w:r>
      <w:r>
        <w:rPr>
          <w:rFonts w:ascii="David" w:hAnsi="David" w:cs="David"/>
          <w:color w:val="000000"/>
          <w:sz w:val="24"/>
          <w:szCs w:val="24"/>
        </w:rPr>
        <w:t xml:space="preserve"> </w:t>
      </w:r>
      <w:r>
        <w:rPr>
          <w:rFonts w:ascii="David" w:hAnsi="David" w:cs="David"/>
          <w:color w:val="000000"/>
          <w:sz w:val="24"/>
          <w:szCs w:val="24"/>
          <w:rtl/>
        </w:rPr>
        <w:t xml:space="preserve"> </w:t>
      </w:r>
      <w:r>
        <w:rPr>
          <w:rFonts w:ascii="David" w:hAnsi="David" w:cs="David" w:hint="cs"/>
          <w:color w:val="000000"/>
          <w:sz w:val="24"/>
          <w:szCs w:val="24"/>
          <w:rtl/>
        </w:rPr>
        <w:t>(נבו 10.02.2016</w:t>
      </w:r>
      <w:r>
        <w:rPr>
          <w:rFonts w:ascii="David" w:hAnsi="David" w:cs="David"/>
          <w:color w:val="000000"/>
          <w:sz w:val="24"/>
          <w:szCs w:val="24"/>
        </w:rPr>
        <w:t>((</w:t>
      </w:r>
      <w:r>
        <w:rPr>
          <w:rFonts w:ascii="David" w:hAnsi="David" w:cs="David"/>
          <w:color w:val="000000"/>
          <w:sz w:val="24"/>
          <w:szCs w:val="24"/>
          <w:rtl/>
        </w:rPr>
        <w:t>.</w:t>
      </w:r>
    </w:p>
    <w:p w:rsidR="00B809D4" w:rsidRDefault="00B809D4" w:rsidP="00B809D4">
      <w:pPr>
        <w:pStyle w:val="ad"/>
        <w:spacing w:line="360" w:lineRule="auto"/>
        <w:ind w:left="84"/>
        <w:jc w:val="both"/>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 xml:space="preserve">על אף היותו של עיקול סעד דיוני בלבד, אך ברור כי נושי עיזבון המנוח סומכים על העיקולים שהטילו על המקרקעין לצורך פירעון חובם, ולבטח שיש לתת להם יומם טרם מתן החלטה על ביטולם. </w:t>
      </w:r>
    </w:p>
    <w:p w:rsidR="00B809D4" w:rsidRDefault="00B809D4" w:rsidP="00B809D4">
      <w:pPr>
        <w:pStyle w:val="ad"/>
        <w:spacing w:line="360" w:lineRule="auto"/>
        <w:ind w:left="84"/>
        <w:jc w:val="both"/>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sz w:val="24"/>
          <w:szCs w:val="24"/>
          <w:rtl/>
        </w:rPr>
        <w:lastRenderedPageBreak/>
        <w:t>מבין כל שלל השתלשלות האירועים מצאתי כי יש להתמקד באירועים שהתנהלו מול בית משפט קמא, כדלקמן: - ביום 12.01.2021 אישר בית משפט קמא את מכר המקרקעין לרוכשת והורה על סגירת תיק בית המשפט.</w:t>
      </w:r>
      <w:r>
        <w:rPr>
          <w:rFonts w:ascii="David" w:hAnsi="David" w:cs="David"/>
          <w:b/>
          <w:bCs/>
          <w:color w:val="000000"/>
          <w:sz w:val="24"/>
          <w:szCs w:val="24"/>
          <w:rtl/>
        </w:rPr>
        <w:t xml:space="preserve"> </w:t>
      </w:r>
      <w:r>
        <w:rPr>
          <w:rFonts w:ascii="David" w:hAnsi="David" w:cs="David"/>
          <w:b/>
          <w:bCs/>
          <w:color w:val="000000"/>
          <w:sz w:val="24"/>
          <w:szCs w:val="24"/>
          <w:u w:val="single"/>
          <w:rtl/>
        </w:rPr>
        <w:t xml:space="preserve">בחלוף כמעט שנה </w:t>
      </w:r>
      <w:r>
        <w:rPr>
          <w:rFonts w:ascii="David" w:hAnsi="David" w:cs="David"/>
          <w:color w:val="000000"/>
          <w:sz w:val="24"/>
          <w:szCs w:val="24"/>
          <w:rtl/>
        </w:rPr>
        <w:t xml:space="preserve">(01.12.2021) הגיש מנהל עיזבון המנוח בקשה לצו מכר ופסיקתה בה הוראת ביטול כל העיקולים הרשומים על המקרקעין. </w:t>
      </w:r>
      <w:r>
        <w:rPr>
          <w:rFonts w:ascii="David" w:hAnsi="David" w:cs="David"/>
          <w:b/>
          <w:bCs/>
          <w:color w:val="000000"/>
          <w:sz w:val="24"/>
          <w:szCs w:val="24"/>
          <w:u w:val="single"/>
          <w:rtl/>
        </w:rPr>
        <w:t>בחלוף שנה נוספת</w:t>
      </w:r>
      <w:r>
        <w:rPr>
          <w:rFonts w:ascii="David" w:hAnsi="David" w:cs="David"/>
          <w:color w:val="000000"/>
          <w:sz w:val="24"/>
          <w:szCs w:val="24"/>
          <w:rtl/>
        </w:rPr>
        <w:t xml:space="preserve"> (14.12.2022) הגיש מנהל עיזבון המנוח בקשה חוזרת למתן צו מכר לפי סעיף 34 א' לחוק המכר, הכוללת פסיקתא לביטול כל העיקולים שהוטלו על המקרקעין. </w:t>
      </w:r>
      <w:r>
        <w:rPr>
          <w:rFonts w:ascii="David" w:hAnsi="David" w:cs="David"/>
          <w:b/>
          <w:bCs/>
          <w:color w:val="000000"/>
          <w:sz w:val="24"/>
          <w:szCs w:val="24"/>
          <w:u w:val="single"/>
          <w:rtl/>
        </w:rPr>
        <w:t>בחלוף כחמישה חודשים</w:t>
      </w:r>
      <w:r>
        <w:rPr>
          <w:rFonts w:ascii="David" w:hAnsi="David" w:cs="David"/>
          <w:color w:val="000000"/>
          <w:sz w:val="24"/>
          <w:szCs w:val="24"/>
          <w:rtl/>
        </w:rPr>
        <w:t xml:space="preserve"> ביום 15.5.2023 הורה בית המשפט קמא לפרט אודות העיקולים ולהבהיר האם חלקם הוטלו על ידי גורמים חיצוניים לתיק בית המשפט קמא, </w:t>
      </w:r>
      <w:r>
        <w:rPr>
          <w:rFonts w:ascii="David" w:hAnsi="David" w:cs="David"/>
          <w:b/>
          <w:bCs/>
          <w:color w:val="000000"/>
          <w:sz w:val="24"/>
          <w:szCs w:val="24"/>
          <w:u w:val="single"/>
          <w:rtl/>
        </w:rPr>
        <w:t>וכחודש לאחר מכן</w:t>
      </w:r>
      <w:r>
        <w:rPr>
          <w:rFonts w:ascii="David" w:hAnsi="David" w:cs="David"/>
          <w:color w:val="000000"/>
          <w:sz w:val="24"/>
          <w:szCs w:val="24"/>
          <w:rtl/>
        </w:rPr>
        <w:t xml:space="preserve"> (12.06.2023) הוגשה הודעה המציינת את פרטי העיקולים ובכלל זה מועד הטלתם, מס' השטר בגינן נרשמו, מספרי תיקי ההוצל"פ במסגרתם הוטלו ושמות הזוכים בהם ככל שהיה ניתן. סכום החובות בגינן הוטלו העיקולים לא צוין.</w:t>
      </w:r>
    </w:p>
    <w:p w:rsidR="00B809D4" w:rsidRDefault="00B809D4" w:rsidP="00B809D4">
      <w:pPr>
        <w:pStyle w:val="ad"/>
        <w:spacing w:line="360" w:lineRule="auto"/>
        <w:ind w:left="84"/>
        <w:jc w:val="both"/>
        <w:rPr>
          <w:rFonts w:ascii="David" w:hAnsi="David" w:cs="David"/>
          <w:color w:val="000000"/>
          <w:sz w:val="24"/>
          <w:szCs w:val="24"/>
          <w:highlight w:val="yellow"/>
        </w:rPr>
      </w:pPr>
    </w:p>
    <w:p w:rsidR="00B809D4" w:rsidRDefault="00B809D4" w:rsidP="000C67AD">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עולה כי מיום אישור מכר המקרקעין (</w:t>
      </w:r>
      <w:r>
        <w:rPr>
          <w:rFonts w:ascii="David" w:hAnsi="David" w:cs="David"/>
          <w:sz w:val="24"/>
          <w:szCs w:val="24"/>
          <w:rtl/>
        </w:rPr>
        <w:t xml:space="preserve">12.01.2021) </w:t>
      </w:r>
      <w:r>
        <w:rPr>
          <w:rFonts w:ascii="David" w:hAnsi="David" w:cs="David"/>
          <w:color w:val="000000"/>
          <w:sz w:val="24"/>
          <w:szCs w:val="24"/>
          <w:rtl/>
        </w:rPr>
        <w:t xml:space="preserve">על ידי בית משפט קמא ועד היום בו נשלחה הודעה </w:t>
      </w:r>
      <w:r w:rsidR="0045096B">
        <w:rPr>
          <w:rFonts w:ascii="David" w:hAnsi="David" w:cs="David" w:hint="cs"/>
          <w:color w:val="000000"/>
          <w:sz w:val="24"/>
          <w:szCs w:val="24"/>
          <w:rtl/>
        </w:rPr>
        <w:t xml:space="preserve"> אודות </w:t>
      </w:r>
      <w:r>
        <w:rPr>
          <w:rFonts w:ascii="David" w:hAnsi="David" w:cs="David"/>
          <w:color w:val="000000"/>
          <w:sz w:val="24"/>
          <w:szCs w:val="24"/>
          <w:rtl/>
        </w:rPr>
        <w:t xml:space="preserve">העיקולים ושמות הזוכים בתיקי ההוצל"פ (12.06.2023) חלפו </w:t>
      </w:r>
      <w:r>
        <w:rPr>
          <w:rFonts w:ascii="David" w:hAnsi="David" w:cs="David"/>
          <w:b/>
          <w:bCs/>
          <w:color w:val="000000"/>
          <w:sz w:val="24"/>
          <w:szCs w:val="24"/>
          <w:u w:val="single"/>
          <w:rtl/>
        </w:rPr>
        <w:t>כשנתיים וחצי</w:t>
      </w:r>
      <w:r>
        <w:rPr>
          <w:rFonts w:ascii="David" w:hAnsi="David" w:cs="David"/>
          <w:color w:val="000000"/>
          <w:sz w:val="24"/>
          <w:szCs w:val="24"/>
          <w:rtl/>
        </w:rPr>
        <w:t xml:space="preserve">, זמן רב ביותר, החורג ממתחם הסבירות, בו </w:t>
      </w:r>
      <w:r w:rsidR="0045096B">
        <w:rPr>
          <w:rFonts w:ascii="David" w:hAnsi="David" w:cs="David" w:hint="cs"/>
          <w:color w:val="000000"/>
          <w:sz w:val="24"/>
          <w:szCs w:val="24"/>
          <w:rtl/>
        </w:rPr>
        <w:t xml:space="preserve">היה על </w:t>
      </w:r>
      <w:r>
        <w:rPr>
          <w:rFonts w:ascii="David" w:hAnsi="David" w:cs="David"/>
          <w:color w:val="000000"/>
          <w:sz w:val="24"/>
          <w:szCs w:val="24"/>
          <w:rtl/>
        </w:rPr>
        <w:t>מנהל</w:t>
      </w:r>
      <w:r w:rsidR="0045096B">
        <w:rPr>
          <w:rFonts w:ascii="David" w:hAnsi="David" w:cs="David" w:hint="cs"/>
          <w:color w:val="000000"/>
          <w:sz w:val="24"/>
          <w:szCs w:val="24"/>
          <w:rtl/>
        </w:rPr>
        <w:t>י</w:t>
      </w:r>
      <w:r>
        <w:rPr>
          <w:rFonts w:ascii="David" w:hAnsi="David" w:cs="David"/>
          <w:color w:val="000000"/>
          <w:sz w:val="24"/>
          <w:szCs w:val="24"/>
          <w:rtl/>
        </w:rPr>
        <w:t xml:space="preserve"> העיזבון</w:t>
      </w:r>
      <w:r w:rsidR="0045096B">
        <w:rPr>
          <w:rFonts w:ascii="David" w:hAnsi="David" w:cs="David" w:hint="cs"/>
          <w:color w:val="000000"/>
          <w:sz w:val="24"/>
          <w:szCs w:val="24"/>
          <w:rtl/>
        </w:rPr>
        <w:t xml:space="preserve"> לפעול </w:t>
      </w:r>
      <w:r>
        <w:rPr>
          <w:rFonts w:ascii="David" w:hAnsi="David" w:cs="David"/>
          <w:color w:val="000000"/>
          <w:sz w:val="24"/>
          <w:szCs w:val="24"/>
          <w:rtl/>
        </w:rPr>
        <w:t>לצורך פריעת חובות המנוח לנושיו, אשר הובטחו כאמור על דרך של עיקולי</w:t>
      </w:r>
      <w:r w:rsidR="0045096B">
        <w:rPr>
          <w:rFonts w:ascii="David" w:hAnsi="David" w:cs="David" w:hint="cs"/>
          <w:color w:val="000000"/>
          <w:sz w:val="24"/>
          <w:szCs w:val="24"/>
          <w:rtl/>
        </w:rPr>
        <w:t>ם</w:t>
      </w:r>
      <w:r>
        <w:rPr>
          <w:rFonts w:ascii="David" w:hAnsi="David" w:cs="David"/>
          <w:color w:val="000000"/>
          <w:sz w:val="24"/>
          <w:szCs w:val="24"/>
          <w:rtl/>
        </w:rPr>
        <w:t xml:space="preserve"> </w:t>
      </w:r>
      <w:r w:rsidR="0045096B">
        <w:rPr>
          <w:rFonts w:ascii="David" w:hAnsi="David" w:cs="David" w:hint="cs"/>
          <w:color w:val="000000"/>
          <w:sz w:val="24"/>
          <w:szCs w:val="24"/>
          <w:rtl/>
        </w:rPr>
        <w:t>ברישום.</w:t>
      </w:r>
      <w:r>
        <w:rPr>
          <w:rFonts w:ascii="David" w:hAnsi="David" w:cs="David"/>
          <w:color w:val="000000"/>
          <w:sz w:val="24"/>
          <w:szCs w:val="24"/>
          <w:rtl/>
        </w:rPr>
        <w:t xml:space="preserve"> </w:t>
      </w:r>
      <w:r w:rsidR="0045096B">
        <w:rPr>
          <w:rFonts w:ascii="David" w:hAnsi="David" w:cs="David" w:hint="cs"/>
          <w:color w:val="000000"/>
          <w:sz w:val="24"/>
          <w:szCs w:val="24"/>
          <w:rtl/>
        </w:rPr>
        <w:t xml:space="preserve">יודגש כי כל אותן שנים </w:t>
      </w:r>
      <w:r>
        <w:rPr>
          <w:rFonts w:ascii="David" w:hAnsi="David" w:cs="David"/>
          <w:color w:val="000000"/>
          <w:sz w:val="24"/>
          <w:szCs w:val="24"/>
          <w:rtl/>
        </w:rPr>
        <w:t>או לכל הפחות במהלכ</w:t>
      </w:r>
      <w:r w:rsidR="0045096B">
        <w:rPr>
          <w:rFonts w:ascii="David" w:hAnsi="David" w:cs="David" w:hint="cs"/>
          <w:color w:val="000000"/>
          <w:sz w:val="24"/>
          <w:szCs w:val="24"/>
          <w:rtl/>
        </w:rPr>
        <w:t>ם</w:t>
      </w:r>
      <w:r>
        <w:rPr>
          <w:rFonts w:ascii="David" w:hAnsi="David" w:cs="David"/>
          <w:color w:val="000000"/>
          <w:sz w:val="24"/>
          <w:szCs w:val="24"/>
          <w:rtl/>
        </w:rPr>
        <w:t xml:space="preserve">, היו </w:t>
      </w:r>
      <w:r w:rsidR="0045096B">
        <w:rPr>
          <w:rFonts w:ascii="David" w:hAnsi="David" w:cs="David" w:hint="cs"/>
          <w:color w:val="000000"/>
          <w:sz w:val="24"/>
          <w:szCs w:val="24"/>
          <w:rtl/>
        </w:rPr>
        <w:t xml:space="preserve">כספי התמורה </w:t>
      </w:r>
      <w:r>
        <w:rPr>
          <w:rFonts w:ascii="David" w:hAnsi="David" w:cs="David"/>
          <w:color w:val="000000"/>
          <w:sz w:val="24"/>
          <w:szCs w:val="24"/>
          <w:rtl/>
        </w:rPr>
        <w:t>מצויים בחשבון נאמנות. מנהל</w:t>
      </w:r>
      <w:r w:rsidR="000C67AD">
        <w:rPr>
          <w:rFonts w:ascii="David" w:hAnsi="David" w:cs="David" w:hint="cs"/>
          <w:color w:val="000000"/>
          <w:sz w:val="24"/>
          <w:szCs w:val="24"/>
          <w:rtl/>
        </w:rPr>
        <w:t>י</w:t>
      </w:r>
      <w:r>
        <w:rPr>
          <w:rFonts w:ascii="David" w:hAnsi="David" w:cs="David"/>
          <w:color w:val="000000"/>
          <w:sz w:val="24"/>
          <w:szCs w:val="24"/>
          <w:rtl/>
        </w:rPr>
        <w:t xml:space="preserve"> העיזבון</w:t>
      </w:r>
      <w:r w:rsidR="000C67AD">
        <w:rPr>
          <w:rFonts w:ascii="David" w:hAnsi="David" w:cs="David" w:hint="cs"/>
          <w:color w:val="000000"/>
          <w:sz w:val="24"/>
          <w:szCs w:val="24"/>
          <w:rtl/>
        </w:rPr>
        <w:t xml:space="preserve"> מתוקף תפקידם היו חייבים לפעול כדי </w:t>
      </w:r>
      <w:r>
        <w:rPr>
          <w:rFonts w:ascii="David" w:hAnsi="David" w:cs="David"/>
          <w:color w:val="000000"/>
          <w:sz w:val="24"/>
          <w:szCs w:val="24"/>
          <w:rtl/>
        </w:rPr>
        <w:t xml:space="preserve">להסדיר את </w:t>
      </w:r>
      <w:r w:rsidR="000C67AD">
        <w:rPr>
          <w:rFonts w:ascii="David" w:hAnsi="David" w:cs="David" w:hint="cs"/>
          <w:color w:val="000000"/>
          <w:sz w:val="24"/>
          <w:szCs w:val="24"/>
          <w:rtl/>
        </w:rPr>
        <w:t xml:space="preserve">תשלום </w:t>
      </w:r>
      <w:r>
        <w:rPr>
          <w:rFonts w:ascii="David" w:hAnsi="David" w:cs="David"/>
          <w:color w:val="000000"/>
          <w:sz w:val="24"/>
          <w:szCs w:val="24"/>
          <w:rtl/>
        </w:rPr>
        <w:t>החובות</w:t>
      </w:r>
      <w:r w:rsidR="000C67AD">
        <w:rPr>
          <w:rFonts w:ascii="David" w:hAnsi="David" w:cs="David" w:hint="cs"/>
          <w:color w:val="000000"/>
          <w:sz w:val="24"/>
          <w:szCs w:val="24"/>
          <w:rtl/>
        </w:rPr>
        <w:t xml:space="preserve"> ה</w:t>
      </w:r>
      <w:r>
        <w:rPr>
          <w:rFonts w:ascii="David" w:hAnsi="David" w:cs="David"/>
          <w:color w:val="000000"/>
          <w:sz w:val="24"/>
          <w:szCs w:val="24"/>
          <w:rtl/>
        </w:rPr>
        <w:t>מובטחים</w:t>
      </w:r>
      <w:r w:rsidR="000C67AD">
        <w:rPr>
          <w:rFonts w:ascii="David" w:hAnsi="David" w:cs="David" w:hint="cs"/>
          <w:color w:val="000000"/>
          <w:sz w:val="24"/>
          <w:szCs w:val="24"/>
          <w:rtl/>
        </w:rPr>
        <w:t xml:space="preserve"> ברישום עיקולים </w:t>
      </w:r>
      <w:r>
        <w:rPr>
          <w:rFonts w:ascii="David" w:hAnsi="David" w:cs="David"/>
          <w:color w:val="000000"/>
          <w:sz w:val="24"/>
          <w:szCs w:val="24"/>
          <w:rtl/>
        </w:rPr>
        <w:t>לנושי העיזבון</w:t>
      </w:r>
      <w:r w:rsidR="000C67AD">
        <w:rPr>
          <w:rFonts w:ascii="David" w:hAnsi="David" w:cs="David" w:hint="cs"/>
          <w:color w:val="000000"/>
          <w:sz w:val="24"/>
          <w:szCs w:val="24"/>
          <w:rtl/>
        </w:rPr>
        <w:t>.</w:t>
      </w:r>
      <w:r>
        <w:rPr>
          <w:rFonts w:ascii="David" w:hAnsi="David" w:cs="David"/>
          <w:color w:val="000000"/>
          <w:sz w:val="24"/>
          <w:szCs w:val="24"/>
          <w:rtl/>
        </w:rPr>
        <w:t xml:space="preserve"> טענ</w:t>
      </w:r>
      <w:r w:rsidR="000C67AD">
        <w:rPr>
          <w:rFonts w:ascii="David" w:hAnsi="David" w:cs="David" w:hint="cs"/>
          <w:color w:val="000000"/>
          <w:sz w:val="24"/>
          <w:szCs w:val="24"/>
          <w:rtl/>
        </w:rPr>
        <w:t>תם</w:t>
      </w:r>
      <w:r>
        <w:rPr>
          <w:rFonts w:ascii="David" w:hAnsi="David" w:cs="David"/>
          <w:color w:val="000000"/>
          <w:sz w:val="24"/>
          <w:szCs w:val="24"/>
          <w:rtl/>
        </w:rPr>
        <w:t xml:space="preserve"> כי אין להקדים את הסדרת חובות העיזבון טרם העברת הזכויות על שם הרוכשת</w:t>
      </w:r>
      <w:r w:rsidR="000C67AD">
        <w:rPr>
          <w:rFonts w:ascii="David" w:hAnsi="David" w:cs="David" w:hint="cs"/>
          <w:color w:val="000000"/>
          <w:sz w:val="24"/>
          <w:szCs w:val="24"/>
          <w:rtl/>
        </w:rPr>
        <w:t xml:space="preserve"> אינה יכולה לעמוד כלל. במקביל להבטחת זכויות הרוכשת יש להבטיח אצל זכותם של המעקלים/הנושים. יתרה מזו, טענה זו בודאי אין לה מקום בחלוף </w:t>
      </w:r>
      <w:r>
        <w:rPr>
          <w:rFonts w:ascii="David" w:hAnsi="David" w:cs="David"/>
          <w:color w:val="000000"/>
          <w:sz w:val="24"/>
          <w:szCs w:val="24"/>
          <w:rtl/>
        </w:rPr>
        <w:t xml:space="preserve">שנתיים וחצי לאחר מכן. הדבר מקבל משנה תוקף לאור </w:t>
      </w:r>
      <w:r w:rsidR="000C67AD">
        <w:rPr>
          <w:rFonts w:ascii="David" w:hAnsi="David" w:cs="David" w:hint="cs"/>
          <w:color w:val="000000"/>
          <w:sz w:val="24"/>
          <w:szCs w:val="24"/>
          <w:rtl/>
        </w:rPr>
        <w:t>כך כי מנהלי</w:t>
      </w:r>
      <w:r>
        <w:rPr>
          <w:rFonts w:ascii="David" w:hAnsi="David" w:cs="David"/>
          <w:color w:val="000000"/>
          <w:sz w:val="24"/>
          <w:szCs w:val="24"/>
          <w:rtl/>
        </w:rPr>
        <w:t xml:space="preserve"> העיזבון</w:t>
      </w:r>
      <w:r w:rsidR="000C67AD">
        <w:rPr>
          <w:rFonts w:ascii="David" w:hAnsi="David" w:cs="David" w:hint="cs"/>
          <w:color w:val="000000"/>
          <w:sz w:val="24"/>
          <w:szCs w:val="24"/>
          <w:rtl/>
        </w:rPr>
        <w:t xml:space="preserve"> מציינים כי לא </w:t>
      </w:r>
      <w:r>
        <w:rPr>
          <w:rFonts w:ascii="David" w:hAnsi="David" w:cs="David"/>
          <w:color w:val="000000"/>
          <w:sz w:val="24"/>
          <w:szCs w:val="24"/>
          <w:rtl/>
        </w:rPr>
        <w:t>מן הנמנע</w:t>
      </w:r>
      <w:r w:rsidR="000C67AD">
        <w:rPr>
          <w:rFonts w:ascii="David" w:hAnsi="David" w:cs="David" w:hint="cs"/>
          <w:color w:val="000000"/>
          <w:sz w:val="24"/>
          <w:szCs w:val="24"/>
          <w:rtl/>
        </w:rPr>
        <w:t xml:space="preserve">, שאין </w:t>
      </w:r>
      <w:r>
        <w:rPr>
          <w:rFonts w:ascii="David" w:hAnsi="David" w:cs="David"/>
          <w:color w:val="000000"/>
          <w:sz w:val="24"/>
          <w:szCs w:val="24"/>
          <w:rtl/>
        </w:rPr>
        <w:t>בתמורת מכר המקרקעין כדי לפרוע מלוא חובות העיזבון ואף יכול ויהיה צורך בנקיטת הליך לניהול עיזבון המנוח לפי חוק חדלות פירעון ושיקום כלכלי, התשע"ח-2018.</w:t>
      </w:r>
    </w:p>
    <w:p w:rsidR="00B809D4" w:rsidRDefault="00B809D4" w:rsidP="00B809D4">
      <w:pPr>
        <w:pStyle w:val="ad"/>
        <w:spacing w:line="360" w:lineRule="auto"/>
        <w:ind w:left="-58"/>
        <w:jc w:val="both"/>
        <w:rPr>
          <w:rFonts w:ascii="David" w:hAnsi="David" w:cs="David"/>
          <w:color w:val="000000"/>
          <w:sz w:val="24"/>
          <w:szCs w:val="24"/>
          <w:rtl/>
        </w:rPr>
      </w:pPr>
    </w:p>
    <w:p w:rsidR="00B809D4" w:rsidRDefault="00B809D4" w:rsidP="00AE2A21">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 xml:space="preserve">כאמור, נושי עיזבון המנוח סומכים על העיקולים שהטילו על המקרקעין לצורך פירעון חובם. תיק העיזבון אינו מפוקח על ידי האפוטרופוס הכללי, זאת בהתאם לסעיף 87 לחוק הירושה. האפוטרופוס הכללי אינו מפקח על מנהלי העיזבון בתיק דנן ועניין זה הובא לידיעת בית משפט קמא בעמדת ב"כ היועמ"ש. בית משפט קמא סבר כי אין עליו לחתום על צו מכר פורמאלי המורה על הסרת העיקולים, וזאת כל עוד לא נוכח לדעת כי קיים מנגנון יידוע לבעלי העיקולים וכן מנגנון שיבטיח את פריעת החובות של העיזבון. בכך מנע  בית משפט קמא תאונה משפטית שעלולה להתרחש, </w:t>
      </w:r>
      <w:r w:rsidR="00AE2A21">
        <w:rPr>
          <w:rFonts w:ascii="David" w:hAnsi="David" w:cs="David" w:hint="cs"/>
          <w:color w:val="000000"/>
          <w:sz w:val="24"/>
          <w:szCs w:val="24"/>
          <w:rtl/>
        </w:rPr>
        <w:t>וטוב עשה משלא נעתר לבקשת מנהלי העזבון</w:t>
      </w:r>
      <w:r>
        <w:rPr>
          <w:rFonts w:ascii="David" w:hAnsi="David" w:cs="David"/>
          <w:color w:val="000000"/>
          <w:sz w:val="24"/>
          <w:szCs w:val="24"/>
          <w:rtl/>
        </w:rPr>
        <w:t xml:space="preserve">. </w:t>
      </w:r>
    </w:p>
    <w:p w:rsidR="00B809D4" w:rsidRDefault="00B809D4" w:rsidP="00B809D4">
      <w:pPr>
        <w:pStyle w:val="ad"/>
        <w:spacing w:line="360" w:lineRule="auto"/>
        <w:ind w:left="-58"/>
        <w:jc w:val="both"/>
        <w:rPr>
          <w:rFonts w:ascii="David" w:hAnsi="David" w:cs="David"/>
          <w:color w:val="000000"/>
          <w:sz w:val="24"/>
          <w:szCs w:val="24"/>
          <w:rtl/>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בנוגע לשאלה המשפטית שהעלה מנהל העיזבון, כי נוכח סעיף 34א' לחוק המכר חובה היה על בית משפט קמא להורות על ביטול העיקולים ומירוק הנכס, אפנה כעת.</w:t>
      </w:r>
    </w:p>
    <w:p w:rsidR="00B809D4" w:rsidRDefault="00B809D4" w:rsidP="00B809D4">
      <w:pPr>
        <w:pStyle w:val="ad"/>
        <w:spacing w:line="360" w:lineRule="auto"/>
        <w:ind w:left="-58"/>
        <w:jc w:val="both"/>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סעיף 34א' לחוק המכר קובע כדלקמן:</w:t>
      </w:r>
    </w:p>
    <w:p w:rsidR="00B809D4" w:rsidRDefault="00B809D4" w:rsidP="00B809D4">
      <w:pPr>
        <w:tabs>
          <w:tab w:val="left" w:pos="7597"/>
        </w:tabs>
        <w:spacing w:line="360" w:lineRule="auto"/>
        <w:ind w:left="651" w:right="709"/>
        <w:jc w:val="both"/>
        <w:rPr>
          <w:rFonts w:ascii="David" w:hAnsi="David"/>
          <w:b/>
          <w:bCs/>
          <w:color w:val="000000"/>
          <w:u w:val="single"/>
        </w:rPr>
      </w:pPr>
      <w:r>
        <w:rPr>
          <w:rFonts w:ascii="David" w:hAnsi="David"/>
          <w:b/>
          <w:bCs/>
          <w:color w:val="000000"/>
          <w:u w:val="single"/>
          <w:rtl/>
        </w:rPr>
        <w:t>מכירה על ידי רשות</w:t>
      </w:r>
    </w:p>
    <w:p w:rsidR="00B809D4" w:rsidRDefault="00B809D4" w:rsidP="00B809D4">
      <w:pPr>
        <w:tabs>
          <w:tab w:val="left" w:pos="7597"/>
        </w:tabs>
        <w:spacing w:line="360" w:lineRule="auto"/>
        <w:ind w:left="651" w:right="709"/>
        <w:jc w:val="both"/>
        <w:rPr>
          <w:rFonts w:ascii="David" w:hAnsi="David"/>
          <w:b/>
          <w:bCs/>
          <w:color w:val="000000"/>
          <w:rtl/>
        </w:rPr>
      </w:pPr>
      <w:r>
        <w:rPr>
          <w:rFonts w:ascii="David" w:hAnsi="David"/>
          <w:b/>
          <w:bCs/>
          <w:color w:val="000000"/>
          <w:rtl/>
        </w:rPr>
        <w:t>"נמכר נכס על ידי בית משפט, לשכת הוצאה לפועל או רשות אחרת על פי דין, עוברת הבעלות לקונה נקיה מכל שעבוד, עיקול וזכות אחרת בנכס, חוץ מזכות שלפי תנאי המכירה אינה מתבטלת ומזכות שאינה משמשת ערובה לחיוב כספי</w:t>
      </w:r>
      <w:r>
        <w:rPr>
          <w:rFonts w:ascii="David" w:hAnsi="David"/>
          <w:b/>
          <w:bCs/>
          <w:color w:val="000000"/>
        </w:rPr>
        <w:t>".</w:t>
      </w:r>
    </w:p>
    <w:p w:rsidR="003B6658" w:rsidRDefault="003B6658" w:rsidP="00B809D4">
      <w:pPr>
        <w:spacing w:line="360" w:lineRule="auto"/>
        <w:jc w:val="both"/>
        <w:rPr>
          <w:rFonts w:ascii="David" w:hAnsi="David"/>
          <w:color w:val="000000"/>
          <w:rtl/>
        </w:rPr>
      </w:pPr>
    </w:p>
    <w:p w:rsidR="00B809D4" w:rsidRDefault="00B809D4" w:rsidP="00B809D4">
      <w:pPr>
        <w:spacing w:line="360" w:lineRule="auto"/>
        <w:jc w:val="both"/>
        <w:rPr>
          <w:rFonts w:ascii="David" w:hAnsi="David"/>
          <w:color w:val="000000"/>
          <w:rtl/>
        </w:rPr>
      </w:pPr>
      <w:r>
        <w:rPr>
          <w:rFonts w:ascii="David" w:hAnsi="David"/>
          <w:color w:val="000000"/>
          <w:rtl/>
        </w:rPr>
        <w:t>סעיף 34ב' לחוק המכר קובע כדלקמן:</w:t>
      </w:r>
    </w:p>
    <w:p w:rsidR="003B6658" w:rsidRDefault="003B6658" w:rsidP="00B809D4">
      <w:pPr>
        <w:spacing w:line="360" w:lineRule="auto"/>
        <w:jc w:val="both"/>
        <w:rPr>
          <w:rFonts w:ascii="David" w:hAnsi="David"/>
          <w:color w:val="000000"/>
          <w:rtl/>
        </w:rPr>
      </w:pPr>
    </w:p>
    <w:p w:rsidR="00B809D4" w:rsidRDefault="00B809D4" w:rsidP="00B809D4">
      <w:pPr>
        <w:tabs>
          <w:tab w:val="left" w:pos="7597"/>
        </w:tabs>
        <w:spacing w:line="360" w:lineRule="auto"/>
        <w:ind w:left="651" w:right="709"/>
        <w:jc w:val="both"/>
        <w:rPr>
          <w:rFonts w:ascii="David" w:hAnsi="David"/>
          <w:b/>
          <w:bCs/>
          <w:color w:val="000000"/>
          <w:u w:val="single"/>
        </w:rPr>
      </w:pPr>
      <w:r>
        <w:rPr>
          <w:rFonts w:ascii="David" w:hAnsi="David"/>
          <w:b/>
          <w:bCs/>
          <w:color w:val="000000"/>
          <w:u w:val="single"/>
          <w:rtl/>
        </w:rPr>
        <w:t>תחולת זכויות על הפדיון</w:t>
      </w:r>
    </w:p>
    <w:p w:rsidR="00B809D4" w:rsidRDefault="00B809D4" w:rsidP="00B809D4">
      <w:pPr>
        <w:tabs>
          <w:tab w:val="left" w:pos="7597"/>
        </w:tabs>
        <w:spacing w:line="360" w:lineRule="auto"/>
        <w:ind w:left="651" w:right="709"/>
        <w:jc w:val="both"/>
        <w:rPr>
          <w:rFonts w:ascii="David" w:hAnsi="David"/>
          <w:b/>
          <w:bCs/>
          <w:color w:val="000000"/>
        </w:rPr>
      </w:pPr>
      <w:r>
        <w:rPr>
          <w:rFonts w:ascii="David" w:hAnsi="David"/>
          <w:b/>
          <w:bCs/>
          <w:color w:val="000000"/>
          <w:rtl/>
        </w:rPr>
        <w:t xml:space="preserve">"שעבוד, עיקול וזכות אחרת בנכס המשמשים ערובה לחיוב כספי ולפי סעיפים 34 או 34א אין להיזקק להם נגד הקונה, יחולו על הפדיון מן המכירה." </w:t>
      </w:r>
    </w:p>
    <w:p w:rsidR="00B809D4" w:rsidRDefault="00B809D4" w:rsidP="00B809D4">
      <w:pPr>
        <w:pStyle w:val="ad"/>
        <w:spacing w:line="360" w:lineRule="auto"/>
        <w:ind w:left="84"/>
        <w:jc w:val="both"/>
        <w:rPr>
          <w:rFonts w:ascii="David" w:hAnsi="David" w:cs="David"/>
          <w:color w:val="000000"/>
          <w:sz w:val="24"/>
          <w:szCs w:val="24"/>
          <w:rtl/>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 xml:space="preserve">סעיף 34א' לחוק המכר זכה לדיון מעמיק בפסק הדין שניתן בע"א 6894/15 </w:t>
      </w:r>
      <w:r>
        <w:rPr>
          <w:rFonts w:ascii="David" w:hAnsi="David" w:cs="David"/>
          <w:b/>
          <w:bCs/>
          <w:color w:val="000000"/>
          <w:sz w:val="24"/>
          <w:szCs w:val="24"/>
          <w:rtl/>
        </w:rPr>
        <w:t>זלצר נ' אבירם</w:t>
      </w:r>
      <w:r>
        <w:rPr>
          <w:rFonts w:ascii="David" w:hAnsi="David" w:cs="David"/>
          <w:color w:val="000000"/>
          <w:sz w:val="24"/>
          <w:szCs w:val="24"/>
          <w:rtl/>
        </w:rPr>
        <w:t xml:space="preserve"> (נבו 07.09.2017, להלן: "</w:t>
      </w:r>
      <w:r>
        <w:rPr>
          <w:rFonts w:ascii="David" w:hAnsi="David" w:cs="David"/>
          <w:b/>
          <w:bCs/>
          <w:color w:val="000000"/>
          <w:sz w:val="24"/>
          <w:szCs w:val="24"/>
          <w:rtl/>
        </w:rPr>
        <w:t>עניין זלצר</w:t>
      </w:r>
      <w:r>
        <w:rPr>
          <w:rFonts w:ascii="David" w:hAnsi="David" w:cs="David"/>
          <w:color w:val="000000"/>
          <w:sz w:val="24"/>
          <w:szCs w:val="24"/>
          <w:rtl/>
        </w:rPr>
        <w:t>"), שם סקר כבוד השופט הנדל את הגישות השונות לגבי מהותו של  הסעיף. בתמצית, מן העבר האחד ניצבת גישה הרואה בסעיף 34א' לחוק המכר "אח ורע" לסעיפי תקנת השוק ביחס למיטלטלין ומקרקעין, שמטרתו לתקן ולהיטיב את מהלך העסקים הרגיל של מכירה על ידי רשות על פי דין, מן העבר השני, גישה הסוברת כי סעיף 34א' לחוק המכר כלל לא נועד לקבוע תקנת שוק, וכי יש לקרוא אותו בצוותא עם סעיף 34ב' לחוק המכר שהובא לעיל, דהיינו שסעיף 34א' לחוק המכר "מנקה" את הנכס מזכויותיהם של נושים וסעיף 34ב' לחוק המכר "מאזן" זאת בכך שהוא מעתיק את זכותם של הנושים מן הנכס אל הפדיון מן המכירה, וזאת בדרך של "מעין סוברוגציה", כגרסת המערערים הנסמכים על צירוף הסעיפים יחדיו.</w:t>
      </w:r>
    </w:p>
    <w:p w:rsidR="00B809D4" w:rsidRDefault="00B809D4" w:rsidP="00B809D4">
      <w:pPr>
        <w:pStyle w:val="ad"/>
        <w:spacing w:line="360" w:lineRule="auto"/>
        <w:ind w:left="84"/>
        <w:jc w:val="both"/>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tl/>
        </w:rPr>
      </w:pPr>
      <w:r>
        <w:rPr>
          <w:rFonts w:ascii="David" w:hAnsi="David" w:cs="David"/>
          <w:b/>
          <w:bCs/>
          <w:color w:val="000000"/>
          <w:sz w:val="24"/>
          <w:szCs w:val="24"/>
          <w:rtl/>
        </w:rPr>
        <w:t>כבוד השופט הנדל עמד על ההיגיון והקושי הטמון בכל אחת מן הגישות, ובסיכומו של דבר בחר לאמץ את זו הראשונה, הרואה בסעיף 34א' לחוק המכר כהוראה הקובעת תקנת שוק במקרה של מכירה על ידי רשות.</w:t>
      </w:r>
      <w:r>
        <w:rPr>
          <w:rFonts w:ascii="David" w:hAnsi="David" w:cs="David"/>
          <w:color w:val="000000"/>
          <w:sz w:val="24"/>
          <w:szCs w:val="24"/>
          <w:rtl/>
        </w:rPr>
        <w:t xml:space="preserve"> בין היתר הוסברו החשיבות במתן תמריץ לרוכשים ליטול חלק במכירות המבוצעות על ידי רשות, הרצון לחסוך מן המציעים את הצורך לערוך בירורים בנוגע לטיב זכותו של החייב בנכס והאינטרס להשיא את תמורת המכירה כך שתתקרב למחיר השוק של הנכס. עוד צוין, כי אין מחלוקת בקרב בעלי הדעות השונות על כך שראוי שתיקבע תקנת שוק כשמדובר במכירה על ידי רשות, וכי לשון החוק יכולה להכיל פרשנות הרואה בסעיף כיוצר תקנת שוק. </w:t>
      </w:r>
      <w:r>
        <w:rPr>
          <w:rFonts w:ascii="David" w:hAnsi="David" w:cs="David"/>
          <w:b/>
          <w:bCs/>
          <w:color w:val="000000"/>
          <w:sz w:val="24"/>
          <w:szCs w:val="24"/>
          <w:rtl/>
        </w:rPr>
        <w:t>בנוסף, נקבע כי יש לקרוא לתוך תנאי סעיף 34א' לחוק המכר את הדרישה כי הקונה יבצע את הרכישה בתום לב ובתמורה, בדומה לתנאיה של תקנת השוק הקלאסית.</w:t>
      </w:r>
      <w:r>
        <w:rPr>
          <w:rFonts w:ascii="David" w:hAnsi="David" w:cs="David"/>
          <w:color w:val="000000"/>
          <w:sz w:val="24"/>
          <w:szCs w:val="24"/>
          <w:rtl/>
        </w:rPr>
        <w:t xml:space="preserve"> </w:t>
      </w:r>
    </w:p>
    <w:p w:rsidR="00B809D4" w:rsidRDefault="00B809D4" w:rsidP="00B809D4">
      <w:pPr>
        <w:pStyle w:val="ad"/>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tl/>
        </w:rPr>
      </w:pPr>
      <w:r>
        <w:rPr>
          <w:rFonts w:ascii="David" w:hAnsi="David" w:cs="David"/>
          <w:color w:val="000000"/>
          <w:sz w:val="24"/>
          <w:szCs w:val="24"/>
          <w:rtl/>
        </w:rPr>
        <w:lastRenderedPageBreak/>
        <w:t>המשנה לנשיאה כבוד השופט רובינשטיין הצטרף לקביעה כי סעיף 34א' לחוק המכר מהווה תקנת שוק, תוך שהוא מפנה לדברי ההסבר להצעת חוק המיטלטלין (הוראות משלימות), תש"ל-1970, ה"ח 882 בעמ' 164, מהם עולה בבירור כי המחוקק אכן ראה בסעיף 34א' לחוק המכר משום תקנת שוק נוספת, לצד סעיף 34 לחוק המכר. לדבריו, "</w:t>
      </w:r>
      <w:r>
        <w:rPr>
          <w:rFonts w:ascii="David" w:hAnsi="David" w:cs="David"/>
          <w:b/>
          <w:bCs/>
          <w:color w:val="000000"/>
          <w:sz w:val="24"/>
          <w:szCs w:val="24"/>
          <w:rtl/>
        </w:rPr>
        <w:t>דומה, כי האדם הרוכש מרשות יוצא מהנחה 'אינטואיטיבית' של רכש 'נקי', וראוי לצמצם ככל הניתן את 'זיהומי הרקע', פרט למה שעשה המחוקק מפורשות</w:t>
      </w:r>
      <w:r>
        <w:rPr>
          <w:rFonts w:ascii="David" w:hAnsi="David" w:cs="David"/>
          <w:color w:val="000000"/>
          <w:sz w:val="24"/>
          <w:szCs w:val="24"/>
          <w:rtl/>
        </w:rPr>
        <w:t>" (</w:t>
      </w:r>
      <w:r>
        <w:rPr>
          <w:rFonts w:ascii="David" w:hAnsi="David" w:cs="David"/>
          <w:sz w:val="24"/>
          <w:szCs w:val="24"/>
          <w:rtl/>
        </w:rPr>
        <w:t>עיינו ע"א 4052/19 </w:t>
      </w:r>
      <w:r>
        <w:rPr>
          <w:rFonts w:ascii="David" w:hAnsi="David" w:cs="David"/>
          <w:b/>
          <w:bCs/>
          <w:sz w:val="24"/>
          <w:szCs w:val="24"/>
          <w:rtl/>
        </w:rPr>
        <w:t>י.ש.מ לבניין בע"מ נ' תדביק בע"מ</w:t>
      </w:r>
      <w:r>
        <w:rPr>
          <w:rFonts w:ascii="David" w:hAnsi="David" w:cs="David"/>
          <w:sz w:val="24"/>
          <w:szCs w:val="24"/>
          <w:rtl/>
        </w:rPr>
        <w:t> (נבו 13.09.2020)‏</w:t>
      </w:r>
      <w:r>
        <w:rPr>
          <w:rFonts w:ascii="David" w:hAnsi="David" w:cs="David"/>
          <w:color w:val="000000"/>
          <w:sz w:val="24"/>
          <w:szCs w:val="24"/>
          <w:rtl/>
        </w:rPr>
        <w:t xml:space="preserve">‏). </w:t>
      </w:r>
    </w:p>
    <w:p w:rsidR="00B809D4" w:rsidRDefault="00B809D4" w:rsidP="00B809D4">
      <w:pPr>
        <w:pStyle w:val="ad"/>
        <w:spacing w:line="360" w:lineRule="auto"/>
        <w:ind w:left="84"/>
        <w:jc w:val="both"/>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tl/>
        </w:rPr>
      </w:pPr>
      <w:r>
        <w:rPr>
          <w:rFonts w:ascii="David" w:hAnsi="David" w:cs="David"/>
          <w:color w:val="000000"/>
          <w:sz w:val="24"/>
          <w:szCs w:val="24"/>
          <w:rtl/>
        </w:rPr>
        <w:t xml:space="preserve">פסק דין מקיף נוסף בנוגע לסעיף 34א' לחוק המכר הינו ע"א 3086/22 </w:t>
      </w:r>
      <w:r>
        <w:rPr>
          <w:rFonts w:ascii="David" w:hAnsi="David" w:cs="David"/>
          <w:b/>
          <w:bCs/>
          <w:color w:val="000000"/>
          <w:sz w:val="24"/>
          <w:szCs w:val="24"/>
          <w:rtl/>
        </w:rPr>
        <w:t>פרץ סבן נ' סם אייסוי</w:t>
      </w:r>
      <w:r>
        <w:rPr>
          <w:rFonts w:ascii="David" w:hAnsi="David" w:cs="David"/>
          <w:color w:val="000000"/>
          <w:sz w:val="24"/>
          <w:szCs w:val="24"/>
          <w:rtl/>
        </w:rPr>
        <w:t xml:space="preserve"> (נבו 17.10.2023), אשר ביסס כי יסוד נוסף לצורך שכלול סעיף 34א' לחוק המכר הינו יסוד </w:t>
      </w:r>
      <w:r>
        <w:rPr>
          <w:rFonts w:ascii="David" w:hAnsi="David" w:cs="David"/>
          <w:color w:val="000000"/>
          <w:sz w:val="24"/>
          <w:szCs w:val="24"/>
          <w:u w:val="single"/>
          <w:rtl/>
        </w:rPr>
        <w:t>הרישום</w:t>
      </w:r>
      <w:r>
        <w:rPr>
          <w:rFonts w:ascii="David" w:hAnsi="David" w:cs="David"/>
          <w:color w:val="000000"/>
          <w:sz w:val="24"/>
          <w:szCs w:val="24"/>
          <w:rtl/>
        </w:rPr>
        <w:t>, כדלקמן: "</w:t>
      </w:r>
      <w:r>
        <w:rPr>
          <w:rFonts w:ascii="David" w:hAnsi="David" w:cs="David"/>
          <w:b/>
          <w:bCs/>
          <w:color w:val="000000"/>
          <w:sz w:val="24"/>
          <w:szCs w:val="24"/>
          <w:rtl/>
        </w:rPr>
        <w:t>לבד מיסודות תום הלב והתמורה, מתאפיינות רובן של תקנות השוק ביסוד שלישי: שכלול הקניין על-ידי הקונה"</w:t>
      </w:r>
      <w:r>
        <w:rPr>
          <w:rFonts w:ascii="David" w:hAnsi="David" w:cs="David"/>
          <w:color w:val="000000"/>
          <w:sz w:val="24"/>
          <w:szCs w:val="24"/>
          <w:rtl/>
        </w:rPr>
        <w:t>, וכן: "</w:t>
      </w:r>
      <w:r>
        <w:rPr>
          <w:rFonts w:ascii="David" w:hAnsi="David" w:cs="David"/>
          <w:b/>
          <w:bCs/>
          <w:color w:val="000000"/>
          <w:sz w:val="24"/>
          <w:szCs w:val="24"/>
          <w:rtl/>
        </w:rPr>
        <w:t>התמונה המתקבלת מסקירת הפסיקה היא שתנאי שכלול הקניין הריהו, ככלל, אחד משלושת התנאים העוברים כבריח התיכון של תקנות השוק כולן, בצד תום לב ותמורה"</w:t>
      </w:r>
      <w:r>
        <w:rPr>
          <w:rFonts w:ascii="David" w:hAnsi="David" w:cs="David"/>
          <w:color w:val="000000"/>
          <w:sz w:val="24"/>
          <w:szCs w:val="24"/>
          <w:rtl/>
        </w:rPr>
        <w:t xml:space="preserve">, וכן: </w:t>
      </w:r>
      <w:r>
        <w:rPr>
          <w:rFonts w:ascii="David" w:hAnsi="David" w:cs="David"/>
          <w:b/>
          <w:bCs/>
          <w:color w:val="000000"/>
          <w:sz w:val="24"/>
          <w:szCs w:val="24"/>
          <w:rtl/>
        </w:rPr>
        <w:t>"לדידי, ישנם מספר טעמים המצדיקים להוסיף ולצעוד בדרך שהתווה בית משפט זה, ולדרוש את שכלול הקניין על ידי הקונה בדרך של רישום המקרקעין על שמו, כתנאי לתחולת תקנת השוק שבסעיף 34א'"</w:t>
      </w:r>
      <w:r>
        <w:rPr>
          <w:rFonts w:ascii="David" w:hAnsi="David" w:cs="David"/>
          <w:color w:val="000000"/>
          <w:sz w:val="24"/>
          <w:szCs w:val="24"/>
          <w:rtl/>
        </w:rPr>
        <w:t xml:space="preserve">, וכן: </w:t>
      </w:r>
      <w:r>
        <w:rPr>
          <w:rFonts w:ascii="David" w:hAnsi="David" w:cs="David"/>
          <w:b/>
          <w:bCs/>
          <w:color w:val="000000"/>
          <w:sz w:val="24"/>
          <w:szCs w:val="24"/>
          <w:rtl/>
        </w:rPr>
        <w:t>"תקנות השוק הפזורות במשפט הישראלי דורשות את שכלול הקניין על ידי הצד השלישי; טעמים של הרמוניה חקיקתית וקוהרנטיות בקרב הסדרי תחרות הזכויות, מצדיקים לפרוש את מצודתו של עקרון שכלול הקניין גם על סעיף 34א'"</w:t>
      </w:r>
      <w:r>
        <w:rPr>
          <w:rFonts w:ascii="David" w:hAnsi="David" w:cs="David"/>
          <w:color w:val="000000"/>
          <w:sz w:val="24"/>
          <w:szCs w:val="24"/>
          <w:rtl/>
        </w:rPr>
        <w:t>, וכן: "</w:t>
      </w:r>
      <w:r>
        <w:rPr>
          <w:rFonts w:ascii="David" w:hAnsi="David" w:cs="David"/>
          <w:b/>
          <w:bCs/>
          <w:color w:val="000000"/>
          <w:sz w:val="24"/>
          <w:szCs w:val="24"/>
          <w:rtl/>
        </w:rPr>
        <w:t>באנו אפוא לכלל מסקנה, כי לצורך תחולת תקנת השוק הקבועה בסעיף 34א' ביחס למקרקעין הנמכרים בהליכי הוצאה לפועל, על הקונה המאוחר להשלים את קניינו ברישום</w:t>
      </w:r>
      <w:r>
        <w:rPr>
          <w:rFonts w:ascii="David" w:hAnsi="David" w:cs="David"/>
          <w:b/>
          <w:bCs/>
          <w:color w:val="000000"/>
          <w:sz w:val="24"/>
          <w:szCs w:val="24"/>
        </w:rPr>
        <w:t>."</w:t>
      </w:r>
    </w:p>
    <w:p w:rsidR="00B809D4" w:rsidRDefault="00B809D4" w:rsidP="00B809D4">
      <w:pPr>
        <w:pStyle w:val="ad"/>
        <w:spacing w:line="360" w:lineRule="auto"/>
        <w:ind w:left="84"/>
        <w:jc w:val="both"/>
        <w:rPr>
          <w:rFonts w:ascii="David" w:hAnsi="David" w:cs="David"/>
          <w:color w:val="000000"/>
          <w:sz w:val="24"/>
          <w:szCs w:val="24"/>
          <w:rtl/>
        </w:rPr>
      </w:pPr>
    </w:p>
    <w:p w:rsidR="00B809D4" w:rsidRDefault="00B809D4" w:rsidP="00B809D4">
      <w:pPr>
        <w:pStyle w:val="ad"/>
        <w:numPr>
          <w:ilvl w:val="0"/>
          <w:numId w:val="1"/>
        </w:numPr>
        <w:spacing w:line="360" w:lineRule="auto"/>
        <w:ind w:left="-58"/>
        <w:jc w:val="both"/>
        <w:rPr>
          <w:rFonts w:ascii="David" w:hAnsi="David" w:cs="David"/>
          <w:b/>
          <w:bCs/>
          <w:color w:val="000000"/>
          <w:sz w:val="24"/>
          <w:szCs w:val="24"/>
          <w:rtl/>
        </w:rPr>
      </w:pPr>
      <w:r>
        <w:rPr>
          <w:rFonts w:ascii="David" w:hAnsi="David" w:cs="David"/>
          <w:color w:val="000000"/>
          <w:sz w:val="24"/>
          <w:szCs w:val="24"/>
          <w:rtl/>
        </w:rPr>
        <w:t xml:space="preserve">המסקנה העולה היא כי סעיף 34א' לחוק המכר הינו בגדר "תקנת שוק" נוספת השייכת למשפחת תקנות השוק בחקיקה הישראלית, הדורשת התקיימותם של שלושה יסודות: הם יסוד תום הלב, יסוד התמורה </w:t>
      </w:r>
      <w:r>
        <w:rPr>
          <w:rFonts w:ascii="David" w:hAnsi="David" w:cs="David"/>
          <w:color w:val="000000"/>
          <w:sz w:val="24"/>
          <w:szCs w:val="24"/>
          <w:u w:val="single"/>
          <w:rtl/>
        </w:rPr>
        <w:t>ויסוד הרישום</w:t>
      </w:r>
      <w:r>
        <w:rPr>
          <w:rFonts w:ascii="David" w:hAnsi="David" w:cs="David"/>
          <w:color w:val="000000"/>
          <w:sz w:val="24"/>
          <w:szCs w:val="24"/>
          <w:rtl/>
        </w:rPr>
        <w:t xml:space="preserve">. </w:t>
      </w:r>
      <w:r>
        <w:rPr>
          <w:rFonts w:ascii="David" w:hAnsi="David" w:cs="David"/>
          <w:b/>
          <w:bCs/>
          <w:color w:val="000000"/>
          <w:sz w:val="24"/>
          <w:szCs w:val="24"/>
          <w:rtl/>
        </w:rPr>
        <w:t>במצבנו אנו טרם השתכלל יסוד הרישום, משמע טרם הגיע המועד בו ניתן לטעון כי המקרקעין מורק משעבודים ועיקולים אחרים מכוח הסעיף המדובר.</w:t>
      </w:r>
    </w:p>
    <w:p w:rsidR="00B809D4" w:rsidRDefault="00B809D4" w:rsidP="00B809D4">
      <w:pPr>
        <w:pStyle w:val="ad"/>
        <w:spacing w:line="360" w:lineRule="auto"/>
        <w:ind w:left="84"/>
        <w:jc w:val="both"/>
        <w:rPr>
          <w:rFonts w:ascii="David" w:hAnsi="David" w:cs="David"/>
          <w:color w:val="000000"/>
          <w:sz w:val="24"/>
          <w:szCs w:val="24"/>
        </w:rPr>
      </w:pPr>
    </w:p>
    <w:p w:rsidR="00B809D4" w:rsidRDefault="00AE2A21" w:rsidP="00AE2A21">
      <w:pPr>
        <w:pStyle w:val="ad"/>
        <w:numPr>
          <w:ilvl w:val="0"/>
          <w:numId w:val="1"/>
        </w:numPr>
        <w:spacing w:line="360" w:lineRule="auto"/>
        <w:ind w:left="-58"/>
        <w:jc w:val="both"/>
        <w:rPr>
          <w:rFonts w:ascii="David" w:hAnsi="David" w:cs="David"/>
          <w:color w:val="000000"/>
          <w:sz w:val="24"/>
          <w:szCs w:val="24"/>
          <w:rtl/>
        </w:rPr>
      </w:pPr>
      <w:r>
        <w:rPr>
          <w:rFonts w:ascii="David" w:hAnsi="David" w:cs="David" w:hint="cs"/>
          <w:color w:val="000000"/>
          <w:sz w:val="24"/>
          <w:szCs w:val="24"/>
          <w:rtl/>
        </w:rPr>
        <w:t xml:space="preserve">סוף דבר: </w:t>
      </w:r>
      <w:r w:rsidR="00B809D4">
        <w:rPr>
          <w:rFonts w:ascii="David" w:hAnsi="David" w:cs="David"/>
          <w:color w:val="000000"/>
          <w:sz w:val="24"/>
          <w:szCs w:val="24"/>
          <w:rtl/>
        </w:rPr>
        <w:t xml:space="preserve">אל מול זכותה של הרוכשת ניצבות זכויות נושי עיזבון המנוח, המובטחים </w:t>
      </w:r>
      <w:r>
        <w:rPr>
          <w:rFonts w:ascii="David" w:hAnsi="David" w:cs="David" w:hint="cs"/>
          <w:color w:val="000000"/>
          <w:sz w:val="24"/>
          <w:szCs w:val="24"/>
          <w:rtl/>
        </w:rPr>
        <w:t xml:space="preserve">ברישום </w:t>
      </w:r>
      <w:r w:rsidR="00B809D4">
        <w:rPr>
          <w:rFonts w:ascii="David" w:hAnsi="David" w:cs="David"/>
          <w:color w:val="000000"/>
          <w:sz w:val="24"/>
          <w:szCs w:val="24"/>
          <w:rtl/>
        </w:rPr>
        <w:t>עיקולים על המקרקעין</w:t>
      </w:r>
      <w:r>
        <w:rPr>
          <w:rFonts w:ascii="David" w:hAnsi="David" w:cs="David" w:hint="cs"/>
          <w:color w:val="000000"/>
          <w:sz w:val="24"/>
          <w:szCs w:val="24"/>
          <w:rtl/>
        </w:rPr>
        <w:t>.</w:t>
      </w:r>
      <w:r w:rsidR="00B809D4">
        <w:rPr>
          <w:rFonts w:ascii="David" w:hAnsi="David" w:cs="David"/>
          <w:color w:val="000000"/>
          <w:sz w:val="24"/>
          <w:szCs w:val="24"/>
          <w:rtl/>
        </w:rPr>
        <w:t xml:space="preserve"> אכן תקנת השוק הבאה לידי ביטוי בסעיף 34א' לחוק המכר באה להגן על מצבו של הרוכשת, אך אין</w:t>
      </w:r>
      <w:r>
        <w:rPr>
          <w:rFonts w:ascii="David" w:hAnsi="David" w:cs="David"/>
          <w:color w:val="000000"/>
          <w:sz w:val="24"/>
          <w:szCs w:val="24"/>
          <w:rtl/>
        </w:rPr>
        <w:t xml:space="preserve"> הצדקה כי מ</w:t>
      </w:r>
      <w:r w:rsidR="00B809D4">
        <w:rPr>
          <w:rFonts w:ascii="David" w:hAnsi="David" w:cs="David"/>
          <w:color w:val="000000"/>
          <w:sz w:val="24"/>
          <w:szCs w:val="24"/>
          <w:rtl/>
        </w:rPr>
        <w:t>קסום ההגנה עליה ייעשה בכל מחיר</w:t>
      </w:r>
      <w:r>
        <w:rPr>
          <w:rFonts w:ascii="David" w:hAnsi="David" w:cs="David" w:hint="cs"/>
          <w:color w:val="000000"/>
          <w:sz w:val="24"/>
          <w:szCs w:val="24"/>
          <w:rtl/>
        </w:rPr>
        <w:t xml:space="preserve"> וללא פיקוח ובקרה על זכויות </w:t>
      </w:r>
      <w:r w:rsidR="00B809D4">
        <w:rPr>
          <w:rFonts w:ascii="David" w:hAnsi="David" w:cs="David"/>
          <w:color w:val="000000"/>
          <w:sz w:val="24"/>
          <w:szCs w:val="24"/>
          <w:rtl/>
        </w:rPr>
        <w:t xml:space="preserve">נושים קודמים של המנוח אשר הצליחו להטיל עיקול על נכסיו </w:t>
      </w:r>
      <w:r>
        <w:rPr>
          <w:rFonts w:ascii="David" w:hAnsi="David" w:cs="David" w:hint="cs"/>
          <w:color w:val="000000"/>
          <w:sz w:val="24"/>
          <w:szCs w:val="24"/>
          <w:rtl/>
        </w:rPr>
        <w:t>עוד בימיו.</w:t>
      </w:r>
      <w:r w:rsidR="00B809D4">
        <w:rPr>
          <w:rFonts w:ascii="David" w:hAnsi="David" w:cs="David"/>
          <w:color w:val="000000"/>
          <w:sz w:val="24"/>
          <w:szCs w:val="24"/>
          <w:rtl/>
        </w:rPr>
        <w:t xml:space="preserve"> מנהלי העיזבון לא פירטו כיצד יפעלו לצורך הגנה על זכויותיהם של נושי המנוח באם יימחקו העיקולים הרשומים לטובתם, מה יהיה מנגנון היידוע לבעלי העיקולים ומה יהא אותו מנגנון שיבטיח את פריעת חובות העיזבון, והכל למעט טענתם</w:t>
      </w:r>
      <w:r>
        <w:rPr>
          <w:rFonts w:ascii="David" w:hAnsi="David" w:cs="David" w:hint="cs"/>
          <w:color w:val="000000"/>
          <w:sz w:val="24"/>
          <w:szCs w:val="24"/>
          <w:rtl/>
        </w:rPr>
        <w:t xml:space="preserve"> </w:t>
      </w:r>
      <w:r w:rsidR="003B6658">
        <w:rPr>
          <w:rFonts w:ascii="David" w:hAnsi="David" w:cs="David" w:hint="cs"/>
          <w:color w:val="000000"/>
          <w:sz w:val="24"/>
          <w:szCs w:val="24"/>
          <w:rtl/>
        </w:rPr>
        <w:t>הערטילאית</w:t>
      </w:r>
      <w:r w:rsidR="00B809D4">
        <w:rPr>
          <w:rFonts w:ascii="David" w:hAnsi="David" w:cs="David"/>
          <w:color w:val="000000"/>
          <w:sz w:val="24"/>
          <w:szCs w:val="24"/>
          <w:rtl/>
        </w:rPr>
        <w:t xml:space="preserve"> כי "מובן" שיפעלו על פי הסעיפים המתאימים לחוק הירושה</w:t>
      </w:r>
      <w:r>
        <w:rPr>
          <w:rFonts w:ascii="David" w:hAnsi="David" w:cs="David" w:hint="cs"/>
          <w:color w:val="000000"/>
          <w:sz w:val="24"/>
          <w:szCs w:val="24"/>
          <w:rtl/>
        </w:rPr>
        <w:t>.</w:t>
      </w:r>
      <w:r w:rsidR="00B809D4">
        <w:rPr>
          <w:rFonts w:ascii="David" w:hAnsi="David" w:cs="David"/>
          <w:color w:val="000000"/>
          <w:sz w:val="24"/>
          <w:szCs w:val="24"/>
          <w:rtl/>
        </w:rPr>
        <w:t xml:space="preserve"> </w:t>
      </w:r>
      <w:r>
        <w:rPr>
          <w:rFonts w:ascii="David" w:hAnsi="David" w:cs="David" w:hint="cs"/>
          <w:color w:val="000000"/>
          <w:sz w:val="24"/>
          <w:szCs w:val="24"/>
          <w:rtl/>
        </w:rPr>
        <w:t xml:space="preserve">מתי יפעלו בעוד שנתיים וחצי? מי יפקח על פעולות מנהלי העזבון? האם אין לנושים זכות להשמיע את קולם וליתן להם את יומם? ודאי שכן. </w:t>
      </w:r>
    </w:p>
    <w:p w:rsidR="00B809D4" w:rsidRDefault="00B809D4" w:rsidP="00B809D4">
      <w:pPr>
        <w:pStyle w:val="ad"/>
        <w:spacing w:line="360" w:lineRule="auto"/>
        <w:ind w:left="-58"/>
        <w:jc w:val="both"/>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 xml:space="preserve">על אף חלוף של שנתיים וחצי (עד היום כשנתיים ועשרה חודשים) ועל אף הימצאות התמורה בחשבון נאמנות, מנהלי העיזבון לא פעלו לתשלום חובות העיזבון. בית משפט קמא הקדים ופעל למניעת תאונה משפטית, תוך שהגן על הסעד הדיוני שבידי המעקלים ואלה אף אינם מודעים כי המקרקעין עליהם הטילו עיקולים עתיד לצאת ידי המנוח אל עבר ידי הרוכשת. </w:t>
      </w:r>
    </w:p>
    <w:p w:rsidR="00B809D4" w:rsidRDefault="00B809D4" w:rsidP="00B809D4">
      <w:pPr>
        <w:pStyle w:val="ad"/>
        <w:spacing w:line="360" w:lineRule="auto"/>
        <w:ind w:left="-58"/>
        <w:jc w:val="both"/>
        <w:rPr>
          <w:rFonts w:ascii="David" w:hAnsi="David" w:cs="David"/>
          <w:color w:val="000000"/>
          <w:sz w:val="24"/>
          <w:szCs w:val="24"/>
        </w:rPr>
      </w:pPr>
    </w:p>
    <w:p w:rsidR="00B809D4" w:rsidRDefault="00B809D4" w:rsidP="00B809D4">
      <w:pPr>
        <w:pStyle w:val="ad"/>
        <w:numPr>
          <w:ilvl w:val="0"/>
          <w:numId w:val="1"/>
        </w:numPr>
        <w:spacing w:line="360" w:lineRule="auto"/>
        <w:ind w:left="-58"/>
        <w:jc w:val="both"/>
        <w:rPr>
          <w:rFonts w:ascii="David" w:hAnsi="David" w:cs="David"/>
          <w:color w:val="000000"/>
          <w:sz w:val="24"/>
          <w:szCs w:val="24"/>
        </w:rPr>
      </w:pPr>
      <w:r>
        <w:rPr>
          <w:rFonts w:ascii="David" w:hAnsi="David" w:cs="David"/>
          <w:color w:val="000000"/>
          <w:sz w:val="24"/>
          <w:szCs w:val="24"/>
          <w:rtl/>
        </w:rPr>
        <w:t>טרם סיום, וכדי שלא יוותרו טענות שלא קיבלו מענה והתייחסות, באשר לטענת המערערים כי תדפיס לשכת רישום המקרקעין ובו פירוט העיקולים הונחו לפני בית המשפט קמא עוד בשלב פתיחת התיק בבית המשפט קמא ביום 03.06.2020, יש מקום לדייק. מעיון בבקשה מיום 03.06.2020, שאורכה 2 עמודים בלבד (לא כולל הנספחים), לא מצאתי כי נרשם דבר המצביע על כך שעל המקרקעין מושא הסכם המכר מוטלים 11 עיקולים. הפסקה היחידה שרמזה על כך הינה פסקה 2 לבקשה שם נכתב:</w:t>
      </w:r>
      <w:r>
        <w:rPr>
          <w:rFonts w:ascii="David" w:hAnsi="David" w:cs="David"/>
          <w:b/>
          <w:bCs/>
          <w:color w:val="000000"/>
          <w:sz w:val="24"/>
          <w:szCs w:val="24"/>
          <w:rtl/>
        </w:rPr>
        <w:t xml:space="preserve"> "למנוח היו חובות רבים, ומאידך יש בבעלותו דירה העומדת ריקה ואינה מושכרת לשוכרים."</w:t>
      </w:r>
      <w:r>
        <w:rPr>
          <w:rFonts w:ascii="David" w:hAnsi="David" w:cs="David"/>
          <w:color w:val="000000"/>
          <w:sz w:val="24"/>
          <w:szCs w:val="24"/>
          <w:rtl/>
        </w:rPr>
        <w:t xml:space="preserve">. בנוסף, העתק תדפיס לשכת רישום המקרקעין לא צורף כנספח נפרד אלא נבלע בתוך חוות הדעת השמאית שצורפה לבקשה. </w:t>
      </w:r>
    </w:p>
    <w:p w:rsidR="00B809D4" w:rsidRDefault="00B809D4" w:rsidP="00B809D4">
      <w:pPr>
        <w:pStyle w:val="ad"/>
        <w:spacing w:line="360" w:lineRule="auto"/>
        <w:ind w:left="-58"/>
        <w:jc w:val="both"/>
        <w:rPr>
          <w:rFonts w:ascii="David" w:hAnsi="David" w:cs="David"/>
          <w:color w:val="000000"/>
          <w:sz w:val="24"/>
          <w:szCs w:val="24"/>
        </w:rPr>
      </w:pPr>
    </w:p>
    <w:p w:rsidR="00B809D4" w:rsidRDefault="00EF37F6" w:rsidP="00B809D4">
      <w:pPr>
        <w:pStyle w:val="ad"/>
        <w:numPr>
          <w:ilvl w:val="0"/>
          <w:numId w:val="1"/>
        </w:numPr>
        <w:spacing w:line="360" w:lineRule="auto"/>
        <w:ind w:left="-58"/>
        <w:jc w:val="both"/>
        <w:rPr>
          <w:rFonts w:ascii="David" w:hAnsi="David" w:cs="David"/>
          <w:b/>
          <w:bCs/>
          <w:color w:val="000000"/>
          <w:sz w:val="24"/>
          <w:szCs w:val="24"/>
        </w:rPr>
      </w:pPr>
      <w:r>
        <w:rPr>
          <w:rFonts w:ascii="David" w:hAnsi="David" w:cs="David" w:hint="cs"/>
          <w:b/>
          <w:bCs/>
          <w:color w:val="000000"/>
          <w:sz w:val="24"/>
          <w:szCs w:val="24"/>
          <w:rtl/>
        </w:rPr>
        <w:t>מכל המקובץ</w:t>
      </w:r>
      <w:r w:rsidR="00B809D4">
        <w:rPr>
          <w:rFonts w:ascii="David" w:hAnsi="David" w:cs="David"/>
          <w:b/>
          <w:bCs/>
          <w:color w:val="000000"/>
          <w:sz w:val="24"/>
          <w:szCs w:val="24"/>
          <w:rtl/>
        </w:rPr>
        <w:t>, דין הערעור להידחות</w:t>
      </w:r>
      <w:r>
        <w:rPr>
          <w:rFonts w:ascii="David" w:hAnsi="David" w:cs="David" w:hint="cs"/>
          <w:b/>
          <w:bCs/>
          <w:color w:val="000000"/>
          <w:sz w:val="24"/>
          <w:szCs w:val="24"/>
          <w:rtl/>
        </w:rPr>
        <w:t xml:space="preserve"> וכך אני מורה</w:t>
      </w:r>
      <w:r w:rsidR="00B809D4">
        <w:rPr>
          <w:rFonts w:ascii="David" w:hAnsi="David" w:cs="David"/>
          <w:b/>
          <w:bCs/>
          <w:color w:val="000000"/>
          <w:sz w:val="24"/>
          <w:szCs w:val="24"/>
          <w:rtl/>
        </w:rPr>
        <w:t>.</w:t>
      </w:r>
    </w:p>
    <w:p w:rsidR="00B809D4" w:rsidRDefault="00B809D4" w:rsidP="00B809D4">
      <w:pPr>
        <w:pStyle w:val="ad"/>
        <w:spacing w:line="360" w:lineRule="auto"/>
        <w:ind w:left="-58"/>
        <w:jc w:val="both"/>
        <w:rPr>
          <w:rFonts w:ascii="David" w:hAnsi="David" w:cs="David"/>
          <w:b/>
          <w:bCs/>
          <w:color w:val="000000"/>
          <w:sz w:val="24"/>
          <w:szCs w:val="24"/>
        </w:rPr>
      </w:pPr>
    </w:p>
    <w:p w:rsidR="00B809D4" w:rsidRDefault="00EF37F6" w:rsidP="00EF37F6">
      <w:pPr>
        <w:pStyle w:val="ad"/>
        <w:numPr>
          <w:ilvl w:val="0"/>
          <w:numId w:val="1"/>
        </w:numPr>
        <w:spacing w:line="360" w:lineRule="auto"/>
        <w:ind w:left="-58"/>
        <w:jc w:val="both"/>
        <w:rPr>
          <w:rFonts w:ascii="David" w:hAnsi="David" w:cs="David"/>
          <w:b/>
          <w:bCs/>
          <w:color w:val="000000"/>
          <w:sz w:val="24"/>
          <w:szCs w:val="24"/>
          <w:rtl/>
        </w:rPr>
      </w:pPr>
      <w:r>
        <w:rPr>
          <w:rFonts w:ascii="David" w:hAnsi="David" w:cs="David" w:hint="cs"/>
          <w:b/>
          <w:bCs/>
          <w:color w:val="000000"/>
          <w:sz w:val="24"/>
          <w:szCs w:val="24"/>
          <w:rtl/>
        </w:rPr>
        <w:t xml:space="preserve">באשר לחיוב בהוצאות, </w:t>
      </w:r>
      <w:r w:rsidR="00AE2A21">
        <w:rPr>
          <w:rFonts w:ascii="David" w:hAnsi="David" w:cs="David" w:hint="cs"/>
          <w:b/>
          <w:bCs/>
          <w:color w:val="000000"/>
          <w:sz w:val="24"/>
          <w:szCs w:val="24"/>
          <w:rtl/>
        </w:rPr>
        <w:t>הצעתי ל</w:t>
      </w:r>
      <w:r w:rsidR="00B809D4">
        <w:rPr>
          <w:rFonts w:ascii="David" w:hAnsi="David" w:cs="David"/>
          <w:b/>
          <w:bCs/>
          <w:color w:val="000000"/>
          <w:sz w:val="24"/>
          <w:szCs w:val="24"/>
          <w:rtl/>
        </w:rPr>
        <w:t>מנהלי העיזבון</w:t>
      </w:r>
      <w:r w:rsidR="00AE2A21">
        <w:rPr>
          <w:rFonts w:ascii="David" w:hAnsi="David" w:cs="David" w:hint="cs"/>
          <w:b/>
          <w:bCs/>
          <w:color w:val="000000"/>
          <w:sz w:val="24"/>
          <w:szCs w:val="24"/>
          <w:rtl/>
        </w:rPr>
        <w:t xml:space="preserve"> לחזור בהם מבקשת רשות הערעור ולפעול להסרת העיקולים בהתאם להוראות החוק הרלוונטי. מנהלי הע</w:t>
      </w:r>
      <w:r w:rsidR="003B6658">
        <w:rPr>
          <w:rFonts w:ascii="David" w:hAnsi="David" w:cs="David" w:hint="cs"/>
          <w:b/>
          <w:bCs/>
          <w:color w:val="000000"/>
          <w:sz w:val="24"/>
          <w:szCs w:val="24"/>
          <w:rtl/>
        </w:rPr>
        <w:t>י</w:t>
      </w:r>
      <w:r w:rsidR="00AE2A21">
        <w:rPr>
          <w:rFonts w:ascii="David" w:hAnsi="David" w:cs="David" w:hint="cs"/>
          <w:b/>
          <w:bCs/>
          <w:color w:val="000000"/>
          <w:sz w:val="24"/>
          <w:szCs w:val="24"/>
          <w:rtl/>
        </w:rPr>
        <w:t xml:space="preserve">זבון עמדו על בירור הבקשה. </w:t>
      </w:r>
      <w:r w:rsidR="005903CE">
        <w:rPr>
          <w:rFonts w:ascii="David" w:hAnsi="David" w:cs="David" w:hint="cs"/>
          <w:b/>
          <w:bCs/>
          <w:color w:val="000000"/>
          <w:sz w:val="24"/>
          <w:szCs w:val="24"/>
          <w:rtl/>
        </w:rPr>
        <w:t>אני מחייבת את מנהלי הע</w:t>
      </w:r>
      <w:r w:rsidR="003B6658">
        <w:rPr>
          <w:rFonts w:ascii="David" w:hAnsi="David" w:cs="David" w:hint="cs"/>
          <w:b/>
          <w:bCs/>
          <w:color w:val="000000"/>
          <w:sz w:val="24"/>
          <w:szCs w:val="24"/>
          <w:rtl/>
        </w:rPr>
        <w:t>י</w:t>
      </w:r>
      <w:r w:rsidR="005903CE">
        <w:rPr>
          <w:rFonts w:ascii="David" w:hAnsi="David" w:cs="David" w:hint="cs"/>
          <w:b/>
          <w:bCs/>
          <w:color w:val="000000"/>
          <w:sz w:val="24"/>
          <w:szCs w:val="24"/>
          <w:rtl/>
        </w:rPr>
        <w:t>זבון לשאת</w:t>
      </w:r>
      <w:r w:rsidR="00B809D4">
        <w:rPr>
          <w:rFonts w:ascii="David" w:hAnsi="David" w:cs="David"/>
          <w:b/>
          <w:bCs/>
          <w:color w:val="000000"/>
          <w:sz w:val="24"/>
          <w:szCs w:val="24"/>
          <w:rtl/>
        </w:rPr>
        <w:t xml:space="preserve"> בהוצאות</w:t>
      </w:r>
      <w:r w:rsidR="005903CE">
        <w:rPr>
          <w:rFonts w:ascii="David" w:hAnsi="David" w:cs="David" w:hint="cs"/>
          <w:b/>
          <w:bCs/>
          <w:color w:val="000000"/>
          <w:sz w:val="24"/>
          <w:szCs w:val="24"/>
          <w:rtl/>
        </w:rPr>
        <w:t xml:space="preserve"> משפט</w:t>
      </w:r>
      <w:r w:rsidR="00B809D4">
        <w:rPr>
          <w:rFonts w:ascii="David" w:hAnsi="David" w:cs="David"/>
          <w:b/>
          <w:bCs/>
          <w:color w:val="000000"/>
          <w:sz w:val="24"/>
          <w:szCs w:val="24"/>
          <w:rtl/>
        </w:rPr>
        <w:t xml:space="preserve"> בסך</w:t>
      </w:r>
      <w:r w:rsidR="005903CE">
        <w:rPr>
          <w:rFonts w:ascii="David" w:hAnsi="David" w:cs="David" w:hint="cs"/>
          <w:b/>
          <w:bCs/>
          <w:color w:val="000000"/>
          <w:sz w:val="24"/>
          <w:szCs w:val="24"/>
          <w:rtl/>
        </w:rPr>
        <w:t xml:space="preserve"> כולל של </w:t>
      </w:r>
      <w:r w:rsidR="00B809D4">
        <w:rPr>
          <w:rFonts w:ascii="David" w:hAnsi="David" w:cs="David"/>
          <w:b/>
          <w:bCs/>
          <w:color w:val="000000"/>
          <w:sz w:val="24"/>
          <w:szCs w:val="24"/>
          <w:rtl/>
        </w:rPr>
        <w:t xml:space="preserve"> 5,000 ₪ לטובת אוצר המדינה שישולמו תוך 30 ימים מהיום שאם לא כן יישאו בהפרשי הצמדה וריבית מיום מתן פסק הדין ועד התשלום בפועל.</w:t>
      </w:r>
    </w:p>
    <w:p w:rsidR="00B809D4" w:rsidRDefault="00B809D4" w:rsidP="00B809D4">
      <w:pPr>
        <w:pStyle w:val="ad"/>
        <w:spacing w:line="360" w:lineRule="auto"/>
        <w:ind w:left="-58"/>
        <w:jc w:val="both"/>
        <w:rPr>
          <w:rFonts w:ascii="David" w:hAnsi="David" w:cs="David"/>
          <w:b/>
          <w:bCs/>
          <w:color w:val="000000"/>
          <w:sz w:val="24"/>
          <w:szCs w:val="24"/>
        </w:rPr>
      </w:pPr>
    </w:p>
    <w:p w:rsidR="00B809D4" w:rsidRDefault="00B809D4" w:rsidP="00B809D4">
      <w:pPr>
        <w:pStyle w:val="ad"/>
        <w:numPr>
          <w:ilvl w:val="0"/>
          <w:numId w:val="1"/>
        </w:numPr>
        <w:spacing w:line="360" w:lineRule="auto"/>
        <w:ind w:left="-58"/>
        <w:jc w:val="both"/>
        <w:rPr>
          <w:rFonts w:ascii="David" w:hAnsi="David" w:cs="David"/>
          <w:b/>
          <w:bCs/>
          <w:color w:val="000000"/>
          <w:sz w:val="24"/>
          <w:szCs w:val="24"/>
        </w:rPr>
      </w:pPr>
      <w:r>
        <w:rPr>
          <w:rFonts w:ascii="David" w:hAnsi="David" w:cs="David"/>
          <w:b/>
          <w:bCs/>
          <w:color w:val="000000"/>
          <w:sz w:val="24"/>
          <w:szCs w:val="24"/>
          <w:rtl/>
        </w:rPr>
        <w:t>פסק הדין מותר לפרסום בהשמטת </w:t>
      </w:r>
      <w:bookmarkStart w:id="2" w:name="Seif2"/>
      <w:r>
        <w:rPr>
          <w:rFonts w:ascii="David" w:hAnsi="David" w:cs="David"/>
          <w:b/>
          <w:bCs/>
          <w:color w:val="000000"/>
          <w:sz w:val="24"/>
          <w:szCs w:val="24"/>
          <w:rtl/>
        </w:rPr>
        <w:t>פרטים </w:t>
      </w:r>
      <w:bookmarkEnd w:id="2"/>
      <w:r>
        <w:rPr>
          <w:rFonts w:ascii="David" w:hAnsi="David" w:cs="David"/>
          <w:b/>
          <w:bCs/>
          <w:color w:val="000000"/>
          <w:sz w:val="24"/>
          <w:szCs w:val="24"/>
          <w:rtl/>
        </w:rPr>
        <w:t>מזהים.</w:t>
      </w:r>
    </w:p>
    <w:p w:rsidR="005903CE" w:rsidRPr="005903CE" w:rsidRDefault="005903CE" w:rsidP="005903CE">
      <w:pPr>
        <w:pStyle w:val="ad"/>
        <w:rPr>
          <w:rFonts w:ascii="David" w:hAnsi="David" w:cs="David"/>
          <w:b/>
          <w:bCs/>
          <w:color w:val="000000"/>
          <w:sz w:val="24"/>
          <w:szCs w:val="24"/>
          <w:rtl/>
        </w:rPr>
      </w:pPr>
    </w:p>
    <w:p w:rsidR="005903CE" w:rsidRDefault="005903CE" w:rsidP="00B809D4">
      <w:pPr>
        <w:pStyle w:val="ad"/>
        <w:numPr>
          <w:ilvl w:val="0"/>
          <w:numId w:val="1"/>
        </w:numPr>
        <w:spacing w:line="360" w:lineRule="auto"/>
        <w:ind w:left="-58"/>
        <w:jc w:val="both"/>
        <w:rPr>
          <w:rFonts w:ascii="David" w:hAnsi="David" w:cs="David"/>
          <w:b/>
          <w:bCs/>
          <w:color w:val="000000"/>
          <w:sz w:val="24"/>
          <w:szCs w:val="24"/>
          <w:rtl/>
        </w:rPr>
      </w:pPr>
      <w:r>
        <w:rPr>
          <w:rFonts w:ascii="David" w:hAnsi="David" w:cs="David" w:hint="cs"/>
          <w:b/>
          <w:bCs/>
          <w:color w:val="000000"/>
          <w:sz w:val="24"/>
          <w:szCs w:val="24"/>
          <w:rtl/>
        </w:rPr>
        <w:t xml:space="preserve">המזכירות תמציא פסק הדין לצדדים ותסגור התיק.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נובמבר 2023</w:t>
          </w:r>
        </w:sdtContent>
      </w:sdt>
      <w:r w:rsidR="00005C8B">
        <w:rPr>
          <w:rFonts w:ascii="Arial" w:hAnsi="Arial"/>
          <w:noProof w:val="0"/>
          <w:rtl/>
        </w:rPr>
        <w:t>, בהעדר הצדדים.</w:t>
      </w:r>
    </w:p>
    <w:p w:rsidR="00C43648" w:rsidRDefault="00BF25C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09620440"/>
        </w:sdtPr>
        <w:sdtEndPr/>
        <w:sdtContent>
          <w:r w:rsidR="003B6658">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5CF" w:rsidRDefault="00BF25CF">
      <w:r>
        <w:separator/>
      </w:r>
    </w:p>
  </w:endnote>
  <w:endnote w:type="continuationSeparator" w:id="0">
    <w:p w:rsidR="00BF25CF" w:rsidRDefault="00BF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ADA" w:rsidRDefault="00630AD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F503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F503F">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ADA" w:rsidRDefault="00630AD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5CF" w:rsidRDefault="00BF25CF">
      <w:r>
        <w:separator/>
      </w:r>
    </w:p>
  </w:footnote>
  <w:footnote w:type="continuationSeparator" w:id="0">
    <w:p w:rsidR="00BF25CF" w:rsidRDefault="00BF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ADA" w:rsidRDefault="00630A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F25CF" w:rsidP="003B6658">
          <w:pPr>
            <w:rPr>
              <w:b/>
              <w:bCs/>
              <w:noProof w:val="0"/>
              <w:sz w:val="26"/>
              <w:szCs w:val="26"/>
              <w:rtl/>
            </w:rPr>
          </w:pPr>
          <w:sdt>
            <w:sdtPr>
              <w:rPr>
                <w:rtl/>
              </w:rPr>
              <w:alias w:val="1170"/>
              <w:tag w:val="1170"/>
              <w:id w:val="1066377040"/>
              <w:text w:multiLine="1"/>
            </w:sdtPr>
            <w:sdtEndPr/>
            <w:sdtContent>
              <w:r w:rsidR="00DA249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29999-07-23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מ</w:t>
              </w:r>
              <w:r w:rsidR="003B6658">
                <w:rPr>
                  <w:rFonts w:hint="cs"/>
                  <w:b/>
                  <w:bCs/>
                  <w:noProof w:val="0"/>
                  <w:sz w:val="26"/>
                  <w:szCs w:val="26"/>
                  <w:rtl/>
                </w:rPr>
                <w:t>' (</w:t>
              </w:r>
              <w:r w:rsidR="00DA2495">
                <w:rPr>
                  <w:b/>
                  <w:bCs/>
                  <w:noProof w:val="0"/>
                  <w:sz w:val="26"/>
                  <w:szCs w:val="26"/>
                  <w:rtl/>
                </w:rPr>
                <w:t>המנוח) ואח' נ' האפוטרופוס הכללי מחוז חיפה והצפון</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B809D4">
          <w:pPr>
            <w:rPr>
              <w:sz w:val="20"/>
              <w:szCs w:val="20"/>
              <w:rtl/>
            </w:rPr>
          </w:pPr>
          <w:r>
            <w:rPr>
              <w:rFonts w:hint="cs"/>
              <w:rtl/>
            </w:rPr>
            <w:t xml:space="preserve">                           </w:t>
          </w:r>
          <w:r>
            <w:rPr>
              <w:rFonts w:hint="cs"/>
              <w:sz w:val="20"/>
              <w:szCs w:val="20"/>
              <w:rtl/>
            </w:rPr>
            <w:t xml:space="preserve">       </w:t>
          </w:r>
          <w:r w:rsidR="00B809D4">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ADA" w:rsidRDefault="00630A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353E54"/>
    <w:multiLevelType w:val="hybridMultilevel"/>
    <w:tmpl w:val="C15EE7DC"/>
    <w:lvl w:ilvl="0" w:tplc="9B9E7954">
      <w:start w:val="1"/>
      <w:numFmt w:val="decimal"/>
      <w:lvlText w:val="%1."/>
      <w:lvlJc w:val="left"/>
      <w:pPr>
        <w:ind w:left="720" w:hanging="360"/>
      </w:pPr>
    </w:lvl>
    <w:lvl w:ilvl="1" w:tplc="10141692">
      <w:start w:val="1"/>
      <w:numFmt w:val="lowerLetter"/>
      <w:lvlText w:val="%2."/>
      <w:lvlJc w:val="left"/>
      <w:pPr>
        <w:ind w:left="1440" w:hanging="360"/>
      </w:pPr>
    </w:lvl>
    <w:lvl w:ilvl="2" w:tplc="5C7A0688">
      <w:start w:val="1"/>
      <w:numFmt w:val="lowerRoman"/>
      <w:lvlText w:val="%3."/>
      <w:lvlJc w:val="right"/>
      <w:pPr>
        <w:ind w:left="2160" w:hanging="180"/>
      </w:pPr>
    </w:lvl>
    <w:lvl w:ilvl="3" w:tplc="EF1A51F8">
      <w:start w:val="1"/>
      <w:numFmt w:val="decimal"/>
      <w:lvlText w:val="%4."/>
      <w:lvlJc w:val="left"/>
      <w:pPr>
        <w:ind w:left="2880" w:hanging="360"/>
      </w:pPr>
    </w:lvl>
    <w:lvl w:ilvl="4" w:tplc="F78E974E">
      <w:start w:val="1"/>
      <w:numFmt w:val="lowerLetter"/>
      <w:lvlText w:val="%5."/>
      <w:lvlJc w:val="left"/>
      <w:pPr>
        <w:ind w:left="3600" w:hanging="360"/>
      </w:pPr>
    </w:lvl>
    <w:lvl w:ilvl="5" w:tplc="058AFC50">
      <w:start w:val="1"/>
      <w:numFmt w:val="lowerRoman"/>
      <w:lvlText w:val="%6."/>
      <w:lvlJc w:val="right"/>
      <w:pPr>
        <w:ind w:left="4320" w:hanging="180"/>
      </w:pPr>
    </w:lvl>
    <w:lvl w:ilvl="6" w:tplc="0CDA812C">
      <w:start w:val="1"/>
      <w:numFmt w:val="decimal"/>
      <w:lvlText w:val="%7."/>
      <w:lvlJc w:val="left"/>
      <w:pPr>
        <w:ind w:left="5040" w:hanging="360"/>
      </w:pPr>
    </w:lvl>
    <w:lvl w:ilvl="7" w:tplc="01A6AA80">
      <w:start w:val="1"/>
      <w:numFmt w:val="lowerLetter"/>
      <w:lvlText w:val="%8."/>
      <w:lvlJc w:val="left"/>
      <w:pPr>
        <w:ind w:left="5760" w:hanging="360"/>
      </w:pPr>
    </w:lvl>
    <w:lvl w:ilvl="8" w:tplc="976688AE">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2520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25209&amp;lt;/CaseID&amp;gt;_x000d__x000a_        &amp;lt;CaseMonth&amp;gt;7&amp;lt;/CaseMonth&amp;gt;_x000d__x000a_        &amp;lt;CaseYear&amp;gt;2023&amp;lt;/CaseYear&amp;gt;_x000d__x000a_        &amp;lt;CaseNumber&amp;gt;29999&amp;lt;/CaseNumber&amp;gt;_x000d__x000a_        &amp;lt;NumeratorGroupID&amp;gt;1&amp;lt;/NumeratorGroupID&amp;gt;_x000d__x000a_        &amp;lt;CaseName&amp;gt;מרדכי(המנוח) ואח&amp;#39; נ&amp;#39; האפוטרופוס הכללי מחוז חיפה והצפון&amp;lt;/CaseName&amp;gt;_x000d__x000a_        &amp;lt;CourtID&amp;gt;13&amp;lt;/CourtID&amp;gt;_x000d__x000a_        &amp;lt;CaseTypeID&amp;gt;10074&amp;lt;/CaseTypeID&amp;gt;_x000d__x000a_        &amp;lt;CaseInterestID&amp;gt;101&amp;lt;/CaseInterestID&amp;gt;_x000d__x000a_        &amp;lt;CaseJudgeName&amp;gt;אספרנצה אלו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9999-07-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PreviousSessionDate&amp;gt;2023-10-25T18:00:00+03:00&amp;lt;/CasePreviousSessionDate&amp;gt;_x000d__x000a_        &amp;lt;CaseNextDeterminingTask&amp;gt;140&amp;lt;/CaseNextDeterminingTask&amp;gt;_x000d__x000a_        &amp;lt;TemporaryAidStatus /&amp;gt;_x000d__x000a_        &amp;lt;CaseOpenDate&amp;gt;2023-07-13T10:2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 בר ללשכה&amp;lt;/CaseDesc&amp;gt;_x000d__x000a_        &amp;lt;isExistMinorSide&amp;gt;false&amp;lt;/isExistMinorSide&amp;gt;_x000d__x000a_        &amp;lt;isExistMinorWitness&amp;gt;false&amp;lt;/isExistMinorWitness&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25209&amp;lt;/CaseID&amp;gt;_x000d__x000a_        &amp;lt;CaseMonth&amp;gt;7&amp;lt;/CaseMonth&amp;gt;_x000d__x000a_        &amp;lt;CaseYear&amp;gt;2023&amp;lt;/CaseYear&amp;gt;_x000d__x000a_        &amp;lt;CaseNumber&amp;gt;29999&amp;lt;/CaseNumber&amp;gt;_x000d__x000a_        &amp;lt;NumeratorGroupID&amp;gt;1&amp;lt;/NumeratorGroupID&amp;gt;_x000d__x000a_        &amp;lt;CaseName&amp;gt;מרדכי(המנוח) ואח&amp;#39; נ&amp;#39; האפוטרופוס הכללי מחוז חיפה והצפון&amp;lt;/CaseName&amp;gt;_x000d__x000a_        &amp;lt;CourtID&amp;gt;13&amp;lt;/CourtID&amp;gt;_x000d__x000a_        &amp;lt;CaseTypeID&amp;gt;10074&amp;lt;/CaseTypeID&amp;gt;_x000d__x000a_        &amp;lt;CaseInterestID&amp;gt;101&amp;lt;/CaseInterestID&amp;gt;_x000d__x000a_        &amp;lt;CaseJudgeName&amp;gt;אספרנצה אלו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9999-07-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3-07-13T10:2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 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08T13:19:12.9183682+02:00&amp;lt;/DecisionStatusChangeDate&amp;gt;_x000d__x000a_        &amp;lt;DecisionSignatureDate&amp;gt;2023-11-08T13:19:12.9183682+02:00&amp;lt;/DecisionSignatureDate&amp;gt;_x000d__x000a_        &amp;lt;DecisionSignatureUserID&amp;gt;057955775@GOV.IL&amp;lt;/DecisionSignatureUserID&amp;gt;_x000d__x000a_        &amp;lt;DecisionCreateDate&amp;gt;2023-11-08T13:19:12.9183682+02:00&amp;lt;/DecisionCreateDate&amp;gt;_x000d__x000a_        &amp;lt;DecisionChangeDate&amp;gt;2023-11-08T13:19:12.9183682+02:00&amp;lt;/DecisionChangeDate&amp;gt;_x000d__x000a_        &amp;lt;DecisionChangeUserID&amp;gt;0579557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95577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42520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
    <w:docVar w:name="NGCS.TemplateCaseTypeID" w:val="10074"/>
    <w:docVar w:name="NGCS.TemplateCategoryID" w:val="80"/>
    <w:docVar w:name="NGCS.TemplateCourtID" w:val="13"/>
    <w:docVar w:name="NGCS.TemplateProceedingID" w:val="14"/>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C67AD"/>
    <w:rsid w:val="000E0DD2"/>
    <w:rsid w:val="000E3AF1"/>
    <w:rsid w:val="000F0BC8"/>
    <w:rsid w:val="000F0DD6"/>
    <w:rsid w:val="00107E6D"/>
    <w:rsid w:val="0011194C"/>
    <w:rsid w:val="0011424C"/>
    <w:rsid w:val="001173C6"/>
    <w:rsid w:val="00122A9F"/>
    <w:rsid w:val="001367BC"/>
    <w:rsid w:val="00144D2A"/>
    <w:rsid w:val="0014653E"/>
    <w:rsid w:val="00147BD1"/>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6658"/>
    <w:rsid w:val="003D1C8C"/>
    <w:rsid w:val="003E38C7"/>
    <w:rsid w:val="0040096C"/>
    <w:rsid w:val="00414F1F"/>
    <w:rsid w:val="00422BEE"/>
    <w:rsid w:val="0043125D"/>
    <w:rsid w:val="0043502B"/>
    <w:rsid w:val="004443AC"/>
    <w:rsid w:val="00444B02"/>
    <w:rsid w:val="0045096B"/>
    <w:rsid w:val="00451E28"/>
    <w:rsid w:val="00462C62"/>
    <w:rsid w:val="00465D36"/>
    <w:rsid w:val="004C17EE"/>
    <w:rsid w:val="004C3DA8"/>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903CE"/>
    <w:rsid w:val="005B6D56"/>
    <w:rsid w:val="005F4F09"/>
    <w:rsid w:val="00603F73"/>
    <w:rsid w:val="0061431B"/>
    <w:rsid w:val="00622BAA"/>
    <w:rsid w:val="006306CF"/>
    <w:rsid w:val="00630ADA"/>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2AC6"/>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2A21"/>
    <w:rsid w:val="00AE729E"/>
    <w:rsid w:val="00AE7752"/>
    <w:rsid w:val="00AF7FDA"/>
    <w:rsid w:val="00B5356E"/>
    <w:rsid w:val="00B809AD"/>
    <w:rsid w:val="00B809D4"/>
    <w:rsid w:val="00B80CBD"/>
    <w:rsid w:val="00B859C5"/>
    <w:rsid w:val="00B86096"/>
    <w:rsid w:val="00B87850"/>
    <w:rsid w:val="00B964D9"/>
    <w:rsid w:val="00BA0A7C"/>
    <w:rsid w:val="00BA517C"/>
    <w:rsid w:val="00BB3D05"/>
    <w:rsid w:val="00BB53D3"/>
    <w:rsid w:val="00BB73BE"/>
    <w:rsid w:val="00BC2D89"/>
    <w:rsid w:val="00BD6531"/>
    <w:rsid w:val="00BE05B2"/>
    <w:rsid w:val="00BF1908"/>
    <w:rsid w:val="00BF25CF"/>
    <w:rsid w:val="00BF503F"/>
    <w:rsid w:val="00C22D93"/>
    <w:rsid w:val="00C23458"/>
    <w:rsid w:val="00C23AC9"/>
    <w:rsid w:val="00C31120"/>
    <w:rsid w:val="00C322ED"/>
    <w:rsid w:val="00C34482"/>
    <w:rsid w:val="00C43648"/>
    <w:rsid w:val="00C50A9F"/>
    <w:rsid w:val="00C6364A"/>
    <w:rsid w:val="00C642FA"/>
    <w:rsid w:val="00C770E3"/>
    <w:rsid w:val="00C85BB8"/>
    <w:rsid w:val="00CC7622"/>
    <w:rsid w:val="00CD608F"/>
    <w:rsid w:val="00CE1068"/>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64E08"/>
    <w:rsid w:val="00E80CBE"/>
    <w:rsid w:val="00E9269D"/>
    <w:rsid w:val="00E962E3"/>
    <w:rsid w:val="00EB6C79"/>
    <w:rsid w:val="00EC37E9"/>
    <w:rsid w:val="00EF37F6"/>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809D4"/>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6422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17B3A" w:rsidP="00317B3A">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17B3A"/>
    <w:rsid w:val="00345C9D"/>
    <w:rsid w:val="0048651F"/>
    <w:rsid w:val="005157ED"/>
    <w:rsid w:val="005171E8"/>
    <w:rsid w:val="00556D67"/>
    <w:rsid w:val="00793995"/>
    <w:rsid w:val="007C6F98"/>
    <w:rsid w:val="007E254A"/>
    <w:rsid w:val="00817811"/>
    <w:rsid w:val="008B4366"/>
    <w:rsid w:val="009133C7"/>
    <w:rsid w:val="009178E4"/>
    <w:rsid w:val="00961B27"/>
    <w:rsid w:val="009A4BEE"/>
    <w:rsid w:val="009C555F"/>
    <w:rsid w:val="00A51CA1"/>
    <w:rsid w:val="00AA7CE3"/>
    <w:rsid w:val="00AD53D7"/>
    <w:rsid w:val="00B50DB2"/>
    <w:rsid w:val="00B6304C"/>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7B3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317B3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עיזבון המנוח מרדכי (המנוח)</FullName>
        <FirstName>עיזבון המנוח</FirstName>
        <LastName>מרדכי</LastName>
        <PartyPropertyID>12</PartyPropertyID>
        <PartyPropertyName/>
        <AuthenticationTypeAndNumber>ת"ז 006025977</AuthenticationTypeAndNumber>
        <RepresentatedOrRepresentativesNames>אסף דגני</RepresentatedOrRepresentativesNames>
        <RepresentatedOrRepresentativesCount>1</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258310559</CasePartyID>
        <PartyTypeID>1</PartyTypeID>
        <ActivityStatusID>1</ActivityStatusID>
        <PartyAliasID>3</PartyAliasID>
        <PartyAliasName>מבקש</PartyAliasName>
        <OrdinalNumber>1</OrdinalNumber>
        <LegalEntityID>3711247</LegalEntityID>
        <CaseLegalEntityID>125154275</CaseLegalEntityID>
        <AuthenticationTypeID>1</AuthenticationTypeID>
        <AuthenticationTypeName>ת"ז</AuthenticationTypeName>
        <LegalEntityNumber>006025977</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
        <MotionID>0</MotionID>
        <CasePleaID>0</CasePleaID>
        <FatherName xml:space="preserve">        </FatherName>
        <LinkedCaseID>0</LinkedCaseID>
        <PartyID>1</PartyID>
        <CasePartyCategoryID>2</CasePartyCategoryID>
        <PleaTypeID>5</PleaTypeID>
        <GroupPartyAlias>מבקשים</GroupPartyAlias>
        <IsConverted>false</IsConverted>
        <LegalEntityNameID>95169734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עיזבון המנוח מרדכי (המנוח)</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אסף דגני</FullName>
        <FirstName>אסף</FirstName>
        <LastName>דגני</LastName>
        <PartyPropertyName/>
        <AuthenticationTypeAndNumber>מ.ר. 41179</AuthenticationTypeAndNumber>
        <RepresentatedOrRepresentativesNames>שלומית חייט, עיזבון המנוח מרדכי, עיזבון המנוח נורמה ברומברג, אילן רום</RepresentatedOrRepresentativesNames>
        <RepresentatedOrRepresentativesCount>4</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258310560</CasePartyID>
        <PartyTypeID>2</PartyTypeID>
        <ActivityStatusID>1</ActivityStatusID>
        <PartyAliasID>22</PartyAliasID>
        <PartyAliasName>בא כוח מבקשים</PartyAliasName>
        <OrdinalNumber>1</OrdinalNumber>
        <LegalEntityID>415435</LegalEntityID>
        <CaseLegalEntityID>125154276</CaseLegalEntityID>
        <AuthenticationTypeID>4</AuthenticationTypeID>
        <AuthenticationTypeName>מ.ר.</AuthenticationTypeName>
        <LegalEntityNumber>41179</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הלל יפה 23 חדרה </FullAddress>
        <EmailAddress>office@aln.co.il</EmailAddress>
        <MotionID>0</MotionID>
        <CasePleaID>0</CasePleaID>
        <FatherName xml:space="preserve">        </FatherName>
        <LinkedCaseID>0</LinkedCaseID>
        <PartyID>1</PartyID>
        <CasePartyCategoryID>2</CasePartyCategoryID>
        <LegalEntityAddressID>85623374</LegalEntityAddressID>
        <LegalEntityEmailAddressID>67889411</LegalEntityEmailAddressID>
        <PleaTypeID>5</PleaTypeID>
        <LawyerOfficeName>משרד עו"ד: אסף דגני</LawyerOfficeName>
        <LawyerOfficeID>456079</LawyerOfficeID>
        <GroupPartyAlias/>
        <IsConverted>false</IsConverted>
        <LegalEntityNameID>36419</LegalEntityNameID>
        <RepresentatedNamesOfAssistant/>
        <LegalEntityTypeID>4</LegalEntityTypeID>
        <IsVerdictExists>false</IsVerdictExists>
        <IsAsirAzir>false</IsAsirAzir>
        <IsPublicationProhibited>false</IsPublicationProhibited>
        <PublicationProhibitedFullName>אסף דגני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258310557</CasePartyID>
        <PartyTypeID>1</PartyTypeID>
        <ActivityStatusID>1</ActivityStatusID>
        <PartyAliasID>4</PartyAliasID>
        <PartyAliasName>משיב</PartyAliasName>
        <OrdinalNumber>1</OrdinalNumber>
        <LegalEntityID>15841402</LegalEntityID>
        <CaseLegalEntityID>125154273</CaseLegalEntityID>
        <AuthenticationTypeID>13</AuthenticationTypeID>
        <AuthenticationTypeName>משרדי ממשלה</AuthenticationTypeName>
        <LegalEntityNumber>570000605</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2 - מבקש</RoleName>
        <IsSubProceeding>FALSE</IsSubProceeding>
        <FullName>עיזבון המנוח נורמה ברומברג (המנוח)</FullName>
        <FirstName>עיזבון המנוח</FirstName>
        <LastName>נורמה ברומברג</LastName>
        <PartyPropertyID>12</PartyPropertyID>
        <PartyPropertyName/>
        <AuthenticationTypeAndNumber>ת"ז 069508836</AuthenticationTypeAndNumber>
        <RepresentatedOrRepresentativesNames>אסף דגני</RepresentatedOrRepresentativesNames>
        <RepresentatedOrRepresentativesCount>1</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258310555</CasePartyID>
        <PartyTypeID>1</PartyTypeID>
        <ActivityStatusID>1</ActivityStatusID>
        <PartyAliasID>3</PartyAliasID>
        <PartyAliasName>מבקש</PartyAliasName>
        <OrdinalNumber>2</OrdinalNumber>
        <LegalEntityID>12773956</LegalEntityID>
        <CaseLegalEntityID>125154271</CaseLegalEntityID>
        <AuthenticationTypeID>1</AuthenticationTypeID>
        <AuthenticationTypeName>ת"ז</AuthenticationTypeName>
        <LegalEntityNumber>069508836</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
        <MotionID>0</MotionID>
        <CasePleaID>0</CasePleaID>
        <FatherName>פיליפ</FatherName>
        <LinkedCaseID>0</LinkedCaseID>
        <PartyID>1</PartyID>
        <CasePartyCategoryID>2</CasePartyCategoryID>
        <PleaTypeID>5</PleaTypeID>
        <GroupPartyAlias>מבקשים</GroupPartyAlias>
        <IsConverted>false</IsConverted>
        <LegalEntityNameID>95169746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עיזבון המנוח נורמה ברומברג (המנוח)</PublicationProhibitedFullName>
      </CaseParties>
      <CaseParties>
        <PartyTypeName>צד</PartyTypeName>
        <ProceedingType>כתב טענות עיקרי</ProceedingType>
        <PleaName>כתב בקשה</PleaName>
        <PartyBelonging>צד א'</PartyBelonging>
        <RoleName>מבקש 3 - מבקש</RoleName>
        <IsSubProceeding>FALSE</IsSubProceeding>
        <FullName>שלומית חייט</FullName>
        <FirstName>שלומית</FirstName>
        <LastName>חיט</LastName>
        <PartyPropertyName/>
        <AuthenticationTypeAndNumber>ת"ז 023522824</AuthenticationTypeAndNumber>
        <RepresentatedOrRepresentativesNames>אסף דגני</RepresentatedOrRepresentativesNames>
        <RepresentatedOrRepresentativesCount>1</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258310554</CasePartyID>
        <PartyTypeID>1</PartyTypeID>
        <ActivityStatusID>1</ActivityStatusID>
        <PartyAliasID>3</PartyAliasID>
        <PartyAliasName>מבקש</PartyAliasName>
        <OrdinalNumber>3</OrdinalNumber>
        <LegalEntityID>6130295</LegalEntityID>
        <CaseLegalEntityID>125154270</CaseLegalEntityID>
        <AuthenticationTypeID>1</AuthenticationTypeID>
        <AuthenticationTypeName>ת"ז</AuthenticationTypeName>
        <LegalEntityNumber>023522824</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שד' גושן 29 קריית מוצקין </FullAddress>
        <MotionID>0</MotionID>
        <CasePleaID>0</CasePleaID>
        <FatherName>מרדכי</FatherName>
        <LinkedCaseID>0</LinkedCaseID>
        <PartyID>1</PartyID>
        <CasePartyCategoryID>2</CasePartyCategoryID>
        <LegalEntityAddressID>88165133</LegalEntityAddressID>
        <PleaTypeID>5</PleaTypeID>
        <GroupPartyAlias>מבקשים</GroupPartyAlias>
        <IsConverted>false</IsConverted>
        <LegalEntityRegisteredNameID>2513271</LegalEntityRegisteredNameID>
        <LegalEntityNameID>89689145</LegalEntityNameID>
        <RepresentatedNamesOfAssistant/>
        <LegalEntityTypeID>1</LegalEntityTypeID>
        <IsVerdictExists>false</IsVerdictExists>
        <IsAsirAzir>false</IsAsirAzir>
        <IsPublicationProhibited>false</IsPublicationProhibited>
        <PublicationProhibitedFullName>שלומית חייט</PublicationProhibitedFullName>
      </CaseParties>
      <CaseParties>
        <PartyTypeName>צד</PartyTypeName>
        <ProceedingType>כתב טענות עיקרי</ProceedingType>
        <PleaName>כתב בקשה</PleaName>
        <PartyBelonging>צד א'</PartyBelonging>
        <RoleName>מבקש 4 - מבקש</RoleName>
        <IsSubProceeding>FALSE</IsSubProceeding>
        <FullName>אילן רום</FullName>
        <FirstName>אילן</FirstName>
        <LastName>רום</LastName>
        <PartyPropertyName/>
        <AuthenticationTypeAndNumber>ת"ז 059575852</AuthenticationTypeAndNumber>
        <RepresentatedOrRepresentativesNames>אסף דגני</RepresentatedOrRepresentativesNames>
        <RepresentatedOrRepresentativesCount>1</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258310556</CasePartyID>
        <PartyTypeID>1</PartyTypeID>
        <ActivityStatusID>1</ActivityStatusID>
        <PartyAliasID>3</PartyAliasID>
        <PartyAliasName>מבקש</PartyAliasName>
        <OrdinalNumber>4</OrdinalNumber>
        <LegalEntityID>21041170</LegalEntityID>
        <CaseLegalEntityID>125154272</CaseLegalEntityID>
        <AuthenticationTypeID>1</AuthenticationTypeID>
        <AuthenticationTypeName>ת"ז</AuthenticationTypeName>
        <LegalEntityNumber>059575852</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גרשקוביץ 40 קריית מוצקין </FullAddress>
        <MotionID>0</MotionID>
        <CasePleaID>0</CasePleaID>
        <BirthDate>1965-05-09T00:00:00+03:00</BirthDate>
        <FatherName>מרדכי   </FatherName>
        <LinkedCaseID>0</LinkedCaseID>
        <PartyID>1</PartyID>
        <CasePartyCategoryID>2</CasePartyCategoryID>
        <LegalEntityAddressID>88165156</LegalEntityAddressID>
        <PleaTypeID>5</PleaTypeID>
        <GroupPartyAlias>מבקשים</GroupPartyAlias>
        <IsConverted>false</IsConverted>
        <LegalEntityRegisteredNameID>1811358</LegalEntityRegisteredNameID>
        <LegalEntityNameID>89689148</LegalEntityNameID>
        <RepresentatedNamesOfAssistant/>
        <LegalEntityTypeID>1</LegalEntityTypeID>
        <IsVerdictExists>false</IsVerdictExists>
        <IsAsirAzir>false</IsAsirAzir>
        <IsPublicationProhibited>false</IsPublicationProhibited>
        <PublicationProhibitedFullName>אילן רום</PublicationProhibitedFullName>
      </CaseParties>
    </CasePartiesSelectionDS>
    <DecisionName>פסק דין  שניתנה ע"י  אספרנצה אלון</DecisionName>
    <CourtDisplayName>בית המשפט המחוזי בחיפה בשבתו כבית-משפט לערעורים אזרחיים</CourtDisplayName>
    <IsCaseJudgePanel>false</IsCaseJudgePanel>
    <DecisionSignatureDate>2023-11-08T13:19:12.9183682+02:00</DecisionSignatureDate>
    <OpenCaseDate>2023-07-13T10:23:00+03:00</OpenCaseDate>
    <CaseFeeSum>0.000</CaseFeeSum>
    <DecisionTypeID>2</DecisionTypeID>
    <DecisionSignatureUserName>אספרנצה אלון</DecisionSignatureUserName>
    <DecisionSignatureDateHebrew>2023-11-08T13:19:12.9183682+02:00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מרדכי(המנוח) ואח' נ' האפוטרופוס הכללי מחוז חיפה והצפון</CaseName>
    <DecisionNumberInCase>11</DecisionNumberInCase>
  </dt_Decision>
  <dt_DecisionCase>
    <DecisionID>0</DecisionID>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עיזבון המנוח מרדכי (המנוח)</FullName>
        <FirstName>עיזבון המנוח</FirstName>
        <LastName>מרדכי</LastName>
        <PartyPropertyID>12</PartyPropertyID>
        <PartyPropertyName/>
        <AuthenticationTypeAndNumber>ת"ז 006025977</AuthenticationTypeAndNumber>
        <RepresentatedOrRepresentativesNames>אסף דגני</RepresentatedOrRepresentativesNames>
        <RepresentatedOrRepresentativesCount>1</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258310559</CasePartyID>
        <PartyTypeID>1</PartyTypeID>
        <ActivityStatusID>1</ActivityStatusID>
        <PartyAliasID>3</PartyAliasID>
        <PartyAliasName>מבקש</PartyAliasName>
        <OrdinalNumber>1</OrdinalNumber>
        <LegalEntityID>3711247</LegalEntityID>
        <CaseLegalEntityID>125154275</CaseLegalEntityID>
        <AuthenticationTypeID>1</AuthenticationTypeID>
        <AuthenticationTypeName>ת"ז</AuthenticationTypeName>
        <LegalEntityNumber>006025977</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
        <MotionID>0</MotionID>
        <CasePleaID>0</CasePleaID>
        <FatherName xml:space="preserve">        </FatherName>
        <LinkedCaseID>0</LinkedCaseID>
        <PartyID>1</PartyID>
        <CasePartyCategoryID>2</CasePartyCategoryID>
        <PleaTypeID>5</PleaTypeID>
        <GroupPartyAlias>מבקשים</GroupPartyAlias>
        <IsConverted>false</IsConverted>
        <LegalEntityNameID>95169734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עיזבון המנוח מרדכי (המנוח)</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אסף דגני</FullName>
        <FirstName>אסף</FirstName>
        <LastName>דגני</LastName>
        <PartyPropertyName/>
        <AuthenticationTypeAndNumber>מ.ר. 41179</AuthenticationTypeAndNumber>
        <RepresentatedOrRepresentativesNames>שלומית חייט, עיזבון המנוח מרדכי, עיזבון המנוח נורמה ברומברג, אילן רום</RepresentatedOrRepresentativesNames>
        <RepresentatedOrRepresentativesCount>4</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258310560</CasePartyID>
        <PartyTypeID>2</PartyTypeID>
        <ActivityStatusID>1</ActivityStatusID>
        <PartyAliasID>22</PartyAliasID>
        <PartyAliasName>בא כוח מבקשים</PartyAliasName>
        <OrdinalNumber>1</OrdinalNumber>
        <LegalEntityID>415435</LegalEntityID>
        <CaseLegalEntityID>125154276</CaseLegalEntityID>
        <AuthenticationTypeID>4</AuthenticationTypeID>
        <AuthenticationTypeName>מ.ר.</AuthenticationTypeName>
        <LegalEntityNumber>41179</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הלל יפה 23 חדרה </FullAddress>
        <EmailAddress>office@aln.co.il</EmailAddress>
        <MotionID>0</MotionID>
        <CasePleaID>0</CasePleaID>
        <FatherName xml:space="preserve">        </FatherName>
        <LinkedCaseID>0</LinkedCaseID>
        <PartyID>1</PartyID>
        <CasePartyCategoryID>2</CasePartyCategoryID>
        <LegalEntityAddressID>85623374</LegalEntityAddressID>
        <LegalEntityEmailAddressID>67889411</LegalEntityEmailAddressID>
        <PleaTypeID>5</PleaTypeID>
        <LawyerOfficeName>משרד עו"ד: אסף דגני</LawyerOfficeName>
        <LawyerOfficeID>456079</LawyerOfficeID>
        <GroupPartyAlias/>
        <IsConverted>false</IsConverted>
        <LegalEntityNameID>36419</LegalEntityNameID>
        <RepresentatedNamesOfAssistant/>
        <LegalEntityTypeID>4</LegalEntityTypeID>
        <IsVerdictExists>false</IsVerdictExists>
        <IsAsirAzir>false</IsAsirAzir>
        <IsPublicationProhibited>false</IsPublicationProhibited>
        <PublicationProhibitedFullName>אסף דגני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258310557</CasePartyID>
        <PartyTypeID>1</PartyTypeID>
        <ActivityStatusID>1</ActivityStatusID>
        <PartyAliasID>4</PartyAliasID>
        <PartyAliasName>משיב</PartyAliasName>
        <OrdinalNumber>1</OrdinalNumber>
        <LegalEntityID>15841402</LegalEntityID>
        <CaseLegalEntityID>125154273</CaseLegalEntityID>
        <AuthenticationTypeID>13</AuthenticationTypeID>
        <AuthenticationTypeName>משרדי ממשלה</AuthenticationTypeName>
        <LegalEntityNumber>570000605</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2 - מבקש</RoleName>
        <IsSubProceeding>FALSE</IsSubProceeding>
        <FullName>עיזבון המנוח נורמה ברומברג (המנוח)</FullName>
        <FirstName>עיזבון המנוח</FirstName>
        <LastName>נורמה ברומברג</LastName>
        <PartyPropertyID>12</PartyPropertyID>
        <PartyPropertyName/>
        <AuthenticationTypeAndNumber>ת"ז 069508836</AuthenticationTypeAndNumber>
        <RepresentatedOrRepresentativesNames>אסף דגני</RepresentatedOrRepresentativesNames>
        <RepresentatedOrRepresentativesCount>1</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258310555</CasePartyID>
        <PartyTypeID>1</PartyTypeID>
        <ActivityStatusID>1</ActivityStatusID>
        <PartyAliasID>3</PartyAliasID>
        <PartyAliasName>מבקש</PartyAliasName>
        <OrdinalNumber>2</OrdinalNumber>
        <LegalEntityID>12773956</LegalEntityID>
        <CaseLegalEntityID>125154271</CaseLegalEntityID>
        <AuthenticationTypeID>1</AuthenticationTypeID>
        <AuthenticationTypeName>ת"ז</AuthenticationTypeName>
        <LegalEntityNumber>069508836</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
        <MotionID>0</MotionID>
        <CasePleaID>0</CasePleaID>
        <FatherName>פיליפ</FatherName>
        <LinkedCaseID>0</LinkedCaseID>
        <PartyID>1</PartyID>
        <CasePartyCategoryID>2</CasePartyCategoryID>
        <PleaTypeID>5</PleaTypeID>
        <GroupPartyAlias>מבקשים</GroupPartyAlias>
        <IsConverted>false</IsConverted>
        <LegalEntityNameID>95169746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עיזבון המנוח נורמה ברומברג (המנוח)</PublicationProhibitedFullName>
      </CaseParties>
      <CaseParties>
        <PartyTypeName>צד</PartyTypeName>
        <ProceedingType>כתב טענות עיקרי</ProceedingType>
        <PleaName>כתב בקשה</PleaName>
        <PartyBelonging>צד א'</PartyBelonging>
        <RoleName>מבקש 3 - מבקש</RoleName>
        <IsSubProceeding>FALSE</IsSubProceeding>
        <FullName>שלומית חייט</FullName>
        <FirstName>שלומית</FirstName>
        <LastName>חיט</LastName>
        <PartyPropertyName/>
        <AuthenticationTypeAndNumber>ת"ז 023522824</AuthenticationTypeAndNumber>
        <RepresentatedOrRepresentativesNames>אסף דגני</RepresentatedOrRepresentativesNames>
        <RepresentatedOrRepresentativesCount>1</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258310554</CasePartyID>
        <PartyTypeID>1</PartyTypeID>
        <ActivityStatusID>1</ActivityStatusID>
        <PartyAliasID>3</PartyAliasID>
        <PartyAliasName>מבקש</PartyAliasName>
        <OrdinalNumber>3</OrdinalNumber>
        <LegalEntityID>6130295</LegalEntityID>
        <CaseLegalEntityID>125154270</CaseLegalEntityID>
        <AuthenticationTypeID>1</AuthenticationTypeID>
        <AuthenticationTypeName>ת"ז</AuthenticationTypeName>
        <LegalEntityNumber>023522824</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שד' גושן 29 קריית מוצקין </FullAddress>
        <MotionID>0</MotionID>
        <CasePleaID>0</CasePleaID>
        <FatherName>מרדכי</FatherName>
        <LinkedCaseID>0</LinkedCaseID>
        <PartyID>1</PartyID>
        <CasePartyCategoryID>2</CasePartyCategoryID>
        <LegalEntityAddressID>88165133</LegalEntityAddressID>
        <PleaTypeID>5</PleaTypeID>
        <GroupPartyAlias>מבקשים</GroupPartyAlias>
        <IsConverted>false</IsConverted>
        <LegalEntityRegisteredNameID>2513271</LegalEntityRegisteredNameID>
        <LegalEntityNameID>89689145</LegalEntityNameID>
        <RepresentatedNamesOfAssistant/>
        <LegalEntityTypeID>1</LegalEntityTypeID>
        <IsVerdictExists>false</IsVerdictExists>
        <IsAsirAzir>false</IsAsirAzir>
        <IsPublicationProhibited>false</IsPublicationProhibited>
        <PublicationProhibitedFullName>שלומית חייט</PublicationProhibitedFullName>
      </CaseParties>
      <CaseParties>
        <PartyTypeName>צד</PartyTypeName>
        <ProceedingType>כתב טענות עיקרי</ProceedingType>
        <PleaName>כתב בקשה</PleaName>
        <PartyBelonging>צד א'</PartyBelonging>
        <RoleName>מבקש 4 - מבקש</RoleName>
        <IsSubProceeding>FALSE</IsSubProceeding>
        <FullName>אילן רום</FullName>
        <FirstName>אילן</FirstName>
        <LastName>רום</LastName>
        <PartyPropertyName/>
        <AuthenticationTypeAndNumber>ת"ז 059575852</AuthenticationTypeAndNumber>
        <RepresentatedOrRepresentativesNames>אסף דגני</RepresentatedOrRepresentativesNames>
        <RepresentatedOrRepresentativesCount>1</RepresentatedOrRepresentativesCount>
        <InvitedBy/>
        <CaseID>80425209</CaseID>
        <CaseJudicialPersonPresentationDS>
          <CaseJudicalPersonActive>
            <CaseID>80425209</CaseID>
            <JudicialPersonID>057955775@GOV.IL</JudicialPersonID>
            <JudicialPersonTypeID>1</JudicialPersonTypeID>
            <JudicialTypeID>1</JudicialTypeID>
            <IsChairman>false</IsChairman>
            <TreatmentStartDate>2023-07-13T14:20:12.2+03:00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258310556</CasePartyID>
        <PartyTypeID>1</PartyTypeID>
        <ActivityStatusID>1</ActivityStatusID>
        <PartyAliasID>3</PartyAliasID>
        <PartyAliasName>מבקש</PartyAliasName>
        <OrdinalNumber>4</OrdinalNumber>
        <LegalEntityID>21041170</LegalEntityID>
        <CaseLegalEntityID>125154272</CaseLegalEntityID>
        <AuthenticationTypeID>1</AuthenticationTypeID>
        <AuthenticationTypeName>ת"ז</AuthenticationTypeName>
        <LegalEntityNumber>059575852</LegalEntityNumber>
        <IsMainPartyType>true</IsMainPartyType>
        <CaseDisplayIdentifier>29999-07-23</CaseDisplayIdentifier>
        <CaseTypeID>10074</CaseTypeID>
        <CaseTypeName>רשות ערעור משפחה (רמ"ש)</CaseTypeName>
        <CaseName>מרדכי(המנוח) ואח' נ' האפוטרופוס הכללי מחוז חיפה והצפון</CaseName>
        <FullAddress>גרשקוביץ 40 קריית מוצקין </FullAddress>
        <MotionID>0</MotionID>
        <CasePleaID>0</CasePleaID>
        <BirthDate>1965-05-09T00:00:00+03:00</BirthDate>
        <FatherName>מרדכי   </FatherName>
        <LinkedCaseID>0</LinkedCaseID>
        <PartyID>1</PartyID>
        <CasePartyCategoryID>2</CasePartyCategoryID>
        <LegalEntityAddressID>88165156</LegalEntityAddressID>
        <PleaTypeID>5</PleaTypeID>
        <GroupPartyAlias>מבקשים</GroupPartyAlias>
        <IsConverted>false</IsConverted>
        <LegalEntityRegisteredNameID>1811358</LegalEntityRegisteredNameID>
        <LegalEntityNameID>89689148</LegalEntityNameID>
        <RepresentatedNamesOfAssistant/>
        <LegalEntityTypeID>1</LegalEntityTypeID>
        <IsVerdictExists>false</IsVerdictExists>
        <IsAsirAzir>false</IsAsirAzir>
        <IsPublicationProhibited>false</IsPublicationProhibited>
        <PublicationProhibitedFullName>אילן רום</PublicationProhibitedFullName>
      </CaseParties>
    </CasePartiesSelectionDS>
    <CaseName>מרדכי(המנוח) ואח' נ' האפוטרופוס הכללי מחוז חיפה והצפון</CaseName>
    <CaseDisplayIdentifier>29999-07-23</CaseDisplayIdentifier>
    <CaseInterestID>101</CaseInterestID>
    <CaseTypeShortName>רמ"ש</CaseTypeShortName>
  </dt_DecisionCase>
  <dt_DecisionJudgePanel>
    <JudgeID>057955775@GOV.IL</JudgeID>
    <DisplayName>אספרנצה אלון</DisplayName>
    <RoleName>שופט</RoleName>
    <UserTitleName>שופטת</UserTitleName>
  </dt_DecisionJudgePanel>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ZIMONIM-APAC-EZ-HIF@JUSTICE.GOV.IL</Email>
    <IsPublicationProhibited>false</IsPublicationProhibited>
  </dt_LegalEntityDetails>
  <dt_LegalEntityDetails>
    <PartyID>1</PartyID>
    <PartyTypeID>1</PartyTypeID>
    <DecisionID>0</DecisionID>
    <FullName>עיזבון המנוח מרדכי</FullName>
    <IsPublicationProhibited>false</IsPublicationProhibited>
  </dt_LegalEntityDetails>
  <dt_LegalEntityDetails>
    <Fax>04-6343551</Fax>
    <Phone>072-2725020</Phone>
    <PartyID>1</PartyID>
    <PartyTypeID>2</PartyTypeID>
    <DecisionID>0</DecisionID>
    <StreetName>הלל יפה 23  </StreetName>
    <ZipCode>3842402</ZipCode>
    <CityName>חדרה</CityName>
    <FullName>אסף דגני</FullName>
    <Email>office@aln.co.il</Email>
    <IsPublicationProhibited>false</IsPublicationProhibited>
  </dt_LegalEntityDetails>
  <dt_LegalEntityDetails>
    <PartyID>1</PartyID>
    <PartyTypeID>1</PartyTypeID>
    <DecisionID>0</DecisionID>
    <FullName>עיזבון המנוח נורמה ברומברג</FullName>
    <IsPublicationProhibited>false</IsPublicationProhibited>
  </dt_LegalEntityDetails>
  <dt_LegalEntityDetails>
    <PartyID>1</PartyID>
    <PartyTypeID>1</PartyTypeID>
    <DecisionID>0</DecisionID>
    <StreetName>שד' גושן 29</StreetName>
    <CityName>קריית מוצקין</CityName>
    <FullName>שלומית  חייט</FullName>
    <IsPublicationProhibited>false</IsPublicationProhibited>
  </dt_LegalEntityDetails>
  <dt_LegalEntityDetails>
    <PartyID>1</PartyID>
    <PartyTypeID>1</PartyTypeID>
    <DecisionID>0</DecisionID>
    <StreetName>גרשקוביץ 40</StreetName>
    <CityName>קריית מוצקין</CityName>
    <FullName>אילן רום</FullName>
    <IsPublicationProhibited>false</IsPublicationProhibited>
  </dt_LegalEntityDetails>
  <dt_CaseJudicalPersonActive>
    <CaseJudicalPerson>שופטת אספרנצה אלון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3BC6D-B2FE-4992-AF88-86F36434298C}">
  <ds:schemaRefs/>
</ds:datastoreItem>
</file>

<file path=customXml/itemProps2.xml><?xml version="1.0" encoding="utf-8"?>
<ds:datastoreItem xmlns:ds="http://schemas.openxmlformats.org/officeDocument/2006/customXml" ds:itemID="{24C33917-924D-465A-AB43-49BB7CA66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2667</Words>
  <Characters>13338</Characters>
  <Application>Microsoft Office Word</Application>
  <DocSecurity>0</DocSecurity>
  <Lines>111</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2023-11-12T12:53:00Z</cp:lastPrinted>
  <dcterms:created xsi:type="dcterms:W3CDTF">2023-11-14T12:10:00Z</dcterms:created>
  <dcterms:modified xsi:type="dcterms:W3CDTF">2023-11-14T12:10:00Z</dcterms:modified>
</cp:coreProperties>
</file>